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JTAPI/936/2021 vom 16. September 2021</w:t>
      </w:r>
    </w:p>
    <w:p>
      <w:r>
        <w:t>GE Cour de justice, 2021-09-16, FR</w:t>
      </w:r>
    </w:p>
    <w:p>
      <w:r>
        <w:rPr>
          <w:b/>
        </w:rPr>
        <w:t xml:space="preserve">Quelle: </w:t>
      </w:r>
      <w:r>
        <w:t>https://mcp.opencaselaw.ch/entscheid/ge_gerichte_JTAPI_936_2021</w:t>
      </w:r>
    </w:p>
    <w:p>
      <w:r>
        <w:t>FR: GE_GERICHTE JTAPI/936/2021 du 16 septembre 2021</w:t>
      </w:r>
    </w:p>
    <w:p>
      <w:r>
        <w:t>IT: GE_GERICHTE JTAPI/936/2021 del 16 settembre 2021</w:t>
      </w:r>
    </w:p>
    <w:p>
      <w:pPr>
        <w:pStyle w:val="Heading2"/>
      </w:pPr>
      <w:r>
        <w:t>Erwägungen</w:t>
      </w:r>
    </w:p>
    <w:p>
      <w:r>
        <w:rPr>
          <w:b/>
        </w:rPr>
        <w:t>E. 1</w:t>
      </w:r>
    </w:p>
    <w:p>
      <w:r>
        <w:t>Le tribunal est compétent pour statuer en première instance sur les recours portant, comme en l’espèce, sur les décisions prises par l'OCV en application de la LCR (art. 115 et 116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par la destinataire de la décision querellée, le recours est recevable (art. 57, 60 et 62 à 65 de la loi sur la procédure administrative du 12 septembre 1985 -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w:t>
      </w:r>
    </w:p>
    <w:p>
      <w:r>
        <w:t>- 5/10 - A/3932/2019 I 257 consid. 6.3.1 ; 137 V 71 consid. 5.1 ; arrêt du Tribunal fédéral 8C_763/2017 du 30 octobre 2018 consid. 4.2).</w:t>
      </w:r>
    </w:p>
    <w:p>
      <w:r>
        <w:rPr>
          <w:b/>
        </w:rPr>
        <w:t>E. 4</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5</w:t>
      </w:r>
    </w:p>
    <w:p>
      <w:r>
        <w:t>Pour déterminer la durée et s'il y a lieu de prononcer un retrait d'admonestation, la LCR distingue les infractions légères (art. 16a LCR), moyennement graves (art. 16b LCR) et graves (art. 16c LCR).</w:t>
      </w:r>
    </w:p>
    <w:p>
      <w:r>
        <w:rPr>
          <w:b/>
        </w:rPr>
        <w:t>E. 6</w:t>
      </w:r>
    </w:p>
    <w:p>
      <w:r>
        <w:t>Commet en particulier une infraction grave, selon l'art. 16c al. 1 LCR, la personne qui, en violant gravement les règles de la circulation, met sérieusement en danger la sécurité d'autrui ou en prend le risque (let. a),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(let. d) ou prend la fuite après avoir blessé ou tué une personne (let. e).</w:t>
      </w:r>
    </w:p>
    <w:p>
      <w:r>
        <w:rPr>
          <w:b/>
        </w:rPr>
        <w:t>E. 7</w:t>
      </w:r>
    </w:p>
    <w:p>
      <w:r>
        <w:t>A teneur de l'art. 51 LCR, en cas d'accident où sont en cause des véhicules automobiles ou des cycles, toutes les personnes impliquées devront s'arrêter immédiatement. Elles sont tenues d'assurer, dans la mesure du possible, la sécurité de la circulation (al. 1). S'il y a des blessés, toutes les personnes impliquées dans l'accident devront leur porter secours ;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(al. 2). Si l'accident n'a causé que des dommages matériels, leur auteur en avertira tout de suite le lésé en indiquant son nom et son adresse. En cas d'impossibilité, il en informera sans délai la police (al. 3).</w:t>
      </w:r>
    </w:p>
    <w:p>
      <w:r>
        <w:rPr>
          <w:b/>
        </w:rPr>
        <w:t>E. 8</w:t>
      </w:r>
    </w:p>
    <w:p>
      <w:r>
        <w:t>Selon l'art. 92 LCR (« violation des obligations en cas d'accident »), est puni de l'amende quiconque viole, lors d'un accident, les obligations que lui impose la présente loi (al. 1). Est puni d'une peine privative de liberté de trois ans au plus ou d'une peine pécuniaire le conducteur qui prend la fuite après avoir tué ou blessé une personne lors d'un accident de la circulation (al. 2). La notion de délit de fuite décrite à l'art. 92 al. 2 LCR et à l'art. 16c al. 1 let. e LCR est identique (cf. André BUSSY/Baptiste RUSCONI/Yvan JEANNERET/André KUHN/Cédric MIZEL/Christoph MÜLLER, Code suisse de la circulation routière commenté, 4ème éd., 2015, n. 2.5 ad art. 16 LCR p.932 ; Yvan JEANNERET, Les dispositions pénales de la loi sur la circulation routière (LCR) du 19 décembre</w:t>
      </w:r>
    </w:p>
    <w:p>
      <w:r>
        <w:t>- 6/10 - A/3932/2019 1958, 2007, n. 232 p. 207, note de bas de page n. 295 et les références citées). Le conducteur auteur d'un délit de fuite encourra donc systématiquement un retrait d'admonestation de son permis de conduire (cf. Ibid., n. 232 p. 207).</w:t>
      </w:r>
    </w:p>
    <w:p>
      <w:r>
        <w:rPr>
          <w:b/>
        </w:rPr>
        <w:t>E. 9</w:t>
      </w:r>
    </w:p>
    <w:p>
      <w:r>
        <w:t>Sous le titre « constat de l’incapacité de conduire », l'art. 55 LCR prévoit que les conducteurs de véhicules, de même que les autres usagers de la route impliqués dans un accident, peuvent être soumis à un alcootest (al. 1).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est ordonnée si la personne concernée : a) présente des indices laissant présumer une incapacité de conduire qui n’est pas imputable à l’alcool, b) s’oppose ou se dérobe à l’alcootest ou fait en sorte que cette mesure ne puisse atteindre son but ou c) exige une analyse de l’alcool dans le sang (al. 3). Pour des raisons importantes, la prise de sang peut être effectuée contre la volonté de la personne suspectée et tout autre moyen permettant de prouver l’incapacité de conduire de la personne concernée est réservé (al. 4). L'entrave aux mesures de constatation de l’incapacité de conduire constitue par ailleurs une infraction pénale réprimée par l'art. 91a LCR, réalisée par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rPr>
          <w:b/>
        </w:rPr>
        <w:t>E. 10</w:t>
      </w:r>
    </w:p>
    <w:p>
      <w:r>
        <w:t>Aux termes de l'art. 26 al. 1 LCR, chacun doit se comporter dans la circulation de manière à ne pas gêner ni mettre en danger ceux qui utilisent la route conformément aux règles établies.</w:t>
      </w:r>
    </w:p>
    <w:p>
      <w:r>
        <w:rPr>
          <w:b/>
        </w:rPr>
        <w:t>E. 11</w:t>
      </w:r>
    </w:p>
    <w:p>
      <w:r>
        <w:t>Selon l'art. 31 al. 1 LCR, le conducteur doit rester constamment maître de son véhicule, de façon à pouvoir se conformer aux devoirs de prudence. Cela signifie qu'il doit être à tout moment en mesure de réagir utilement aux circonstances (cf. arrêt du Tribunal fédéral 1C_577/2018 du 9 avril 2019 consid. 2.2 ; 6B_1006/2016 du 24 juillet 2017 consid. 2.1). Le conducteur doit vouer à la route et au trafic toute l'attention possible, le degré de l'attention requise devant s'apprécier au regard des circonstances d'espèce, telles que la densité du trafic, la configuration des lieux, l'heure, la visibilité et les sources de danger prévisibles (ATF 137 IV 290 consid. 3.6 et les références citées ; arrêts du Tribunal fédéral 1C_144/2018 du 10 décembre 2018 consid. 2.2 ;1C_512/2017 du 28 février 2018 consid. 3.2 ; 6B_69/2017 du 28 novembre 2017 consid. 2.2.1 ; 1C_425/2012 du 17 décembre 2012 consid. 3.2). L'attention requise du conducteur implique qu'il soit en mesure de parer rapidement aux dangers qui menacent la vie, l'intégrité corporelle ou les biens matériels d'autrui. La maîtrise du véhicule signifie que le conducteur doit</w:t>
      </w:r>
    </w:p>
    <w:p>
      <w:r>
        <w:t>- 7/10 - A/3932/2019 être à tout moment en mesure d'actionner rapidement les commandes de son véhicule, de façon à manœuvrer immédiatement d'une manière appropriée aux circonstances en présence d'un danger quelconque (cf. arrêts du Tribunal fédéral 6B_909/2014 du 21 mai 2015 consid. 2.1 ; 6B_873/2014 du 5 janvier 2015 consid. 2.1 ; 6B_216/2010 du 11 mai 2010 consid. 5.1 ; 6S.186/2002 du 25 juillet 2002 consid. 2.2 : cf. aussi not. ATA/661/2011 du 18 octobre 2011 ; ATA/548/2008 du 28 octobre 2008 ; ATA/601/2007 du 20 novembre 2007 ; ATA/557/2005 du 16 août 2005 et les références citées). La perte de maîtrise du véhicule est une violation du devoir de prudence. Selon la jurisprudence, elle ne constitue pas toujours une infraction grave au sens de l'art. 16c al. 1 let. a LCR. Selon les circonstances - en particulier selon le degré de mise en danger de la sécurité d'autrui et selon la faute de l'intéressé - l'infraction peut être qualifiée de moyennement grave, au sens de l'art. 16b al. 1 let. a LCR, voire même de légère, au sens de l'art. 16a al. 1 let. a LCR (cf. arrêts du Tribunal fédéral 1C_525/2012 du 24 octobre 2013 consid. 2.2 ; 1C_235/2007 du 29 novembre 2007 consid. 2.2).</w:t>
      </w:r>
    </w:p>
    <w:p>
      <w:r>
        <w:rPr>
          <w:b/>
        </w:rPr>
        <w:t>E. 12</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 arrêts du Tribunal fédéral 1C_470/2019 du 31 janvier 2020 consid. 5.1.2 ; 1C_611/2018 du 18 avril 2019 consid. 2.2 ; 1C_631/2014 du 20 mars 2015 consid. 2.1).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w:t>
      </w:r>
    </w:p>
    <w:p>
      <w:r>
        <w:t>- 8/10 - A/3932/2019 pénale, le cas échéant en épuisant les voies de recours à sa disposition. Elle ne peut pas attendre la procédure administrative pour exposer ses arguments (ATF 123 II 97 consid. 3c/aa ; arrêts du Tribunal fédéral 1C_470/2019 du 31 janvier 2020 consid. 5.1.2 ; 1C_611/2018 du 18 avril 2019 consid. 3.2.2 ; 1C_202/2018 du 18 septembre 2018 consid. 2.2 et 2.3 ; 1C_30/2017 du 21 avril 2017 consid. 2.1 ; 1C_631/2014 du 20 mars 2015 consid. 2.1 ; 1C_245/2010 du</w:t>
      </w:r>
    </w:p>
    <w:p>
      <w:r>
        <w:rPr>
          <w:b/>
        </w:rPr>
        <w:t>E. 13</w:t>
      </w:r>
    </w:p>
    <w:p>
      <w:r>
        <w:t>L'art. 16c al. 2 let. a LCR prévoit qu'après une infraction grave, le permis de conduire est retiré pour trois mois au minimum. Si le conducteur a des antécédents (ce qui n'est pas le cas en l'occurrence), la durée minimum du retrait est supérieure (cf. art. 16c al. 2 let. b, c, d et e LCR).</w:t>
      </w:r>
    </w:p>
    <w:p>
      <w:r>
        <w:rPr>
          <w:b/>
        </w:rPr>
        <w:t>E. 14</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15</w:t>
      </w:r>
    </w:p>
    <w:p>
      <w:r>
        <w:t>À teneur de l'art. 42 al. 1 de la convention sur la circulation routière du 8 novembre 1968 (RS 0.741.10), conclue à Vienne le 8 novembre 1968,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OAC ; cf. ATA/390/2018 du 24 avril 2018 consid. 3b). Les règles et principes énoncés ci-dessus sont donc applicables mutatis mutandis à l'interdiction de faire usage du permis de conduire étranger, notamment français, sur le territoire suisse.</w:t>
      </w:r>
    </w:p>
    <w:p>
      <w:r>
        <w:rPr>
          <w:b/>
        </w:rPr>
        <w:t>E. 16</w:t>
      </w:r>
    </w:p>
    <w:p>
      <w:r>
        <w:t>En l'occurrence, la recourante a été définitivement reconnue coupable d’infraction à l'art. 92 al. 2 LCR par le Tribunal de police. Les faits établis par ce dernier, reposant sur le rapport de police précité et de toute évidence identiques à ceux pris</w:t>
      </w:r>
    </w:p>
    <w:p>
      <w:r>
        <w:t>- 9/10 - A/3932/2019 en compte par l'OCV, ne peuvent donc plus être remis en cause. Il en découle qu'une infraction grave, au sens de l'art. 16c al. 1 let. e LCR, doit être retenue à son détriment. Cela étant, l'OCV ne s'est pas écarté du minimum légal prévu par l'art. 16c al. 2 let. a LCR en fixant à trois mois la durée de l'interdiction de circuler en Suisse opposée à la recourante. Etant liée par cette durée, qui constitue le minimum légal incompressible devant sanctionner l'infraction en cause, il n'a en aucune mesure excédé ou abusé de son pouvoir d'appréciation. Dans ces circonstances, il n'est pas nécessaire de se déterminer sur la prise en compte et la qualification juridique, sur le plan administratif, de la tentative d'infraction à l'art. 91a al. 1 LCR dont la recourante a également été reconnue coupable pénalement et d'une éventuelle violation des art. 26 al. 1 et 31 al. 1 LCR, que le Tribunal de police n'a en revanche pas sanctionnée (en application de l'art. 90 al. 1 ou 2 LCR), dès lors que ces infractions (supplémentaires) n'auraient pas d'influence sur la durée de la mesure querellée. La décision querellée est donc conforme au droit.</w:t>
      </w:r>
    </w:p>
    <w:p>
      <w:r>
        <w:rPr>
          <w:b/>
        </w:rPr>
        <w:t>E. 17</w:t>
      </w:r>
    </w:p>
    <w:p>
      <w:r>
        <w:t>Ne reposant sur aucun motif valable, le recours sera rejeté.</w:t>
      </w:r>
    </w:p>
    <w:p>
      <w:r>
        <w:rPr>
          <w:b/>
        </w:rPr>
        <w:t>E. 18</w:t>
      </w:r>
    </w:p>
    <w:p>
      <w:r>
        <w:t>Vu l'issue du litige, un émolument de CHF 500.- sera mis à la charge de la recourante, qui succombe, en application de l'art. 87 al. 1 LPA et du règlement sur les frais, émoluments et indemnités en procédure administrative du 30 juillet 1986 (RFPA - E 5 10.03). Cette dernière n'a pas droit à une indemnité de procédure (art. 87 al. 2 LPA a contrario).</w:t>
      </w:r>
    </w:p>
    <w:p>
      <w:r>
        <w:t>- 10/10 - A/3932/2019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