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JTAPI/934/2021 vom 11. März 2021</w:t>
      </w:r>
    </w:p>
    <w:p>
      <w:r>
        <w:t>GE Cour de justice, 2021-03-11, FR</w:t>
      </w:r>
    </w:p>
    <w:p>
      <w:r>
        <w:rPr>
          <w:b/>
        </w:rPr>
        <w:t xml:space="preserve">Quelle: </w:t>
      </w:r>
      <w:r>
        <w:t>https://mcp.opencaselaw.ch/entscheid/ge_gerichte_JTAPI_934_2021</w:t>
      </w:r>
    </w:p>
    <w:p>
      <w:r>
        <w:t>FR: GE_GERICHTE JTAPI/934/2021 du 11 mars 2021</w:t>
      </w:r>
    </w:p>
    <w:p>
      <w:r>
        <w:t>IT: GE_GERICHTE JTAPI/934/2021 del 11 marzo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Kosovo.</w:t>
      </w:r>
    </w:p>
    <w:p>
      <w:r>
        <w:rPr>
          <w:b/>
        </w:rPr>
        <w:t>E. 4</w:t>
      </w:r>
    </w:p>
    <w:p>
      <w:r>
        <w:t>Les conditions d'entrée d'un étranger en Suisse sont régies par les art. 5 ss LEI.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L'art. 31 al. 1 OASA, qui fixe les critères déterminants pour la reconnaissance d’un cas individuel d’une extrême gravité au sens de la disposition légale précitée, prévoit que lors de l’appréciation d’un cas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5</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w:t>
      </w:r>
    </w:p>
    <w:p>
      <w:r>
        <w:t>- 6/12 - A/1236/2021 avec la Suisse soit si étroite qu'on ne puisse exiger de lui qu'il aille vivre dans un autre pays, notamment dans son pays d'origine.</w:t>
      </w:r>
    </w:p>
    <w:p>
      <w:r>
        <w:rPr>
          <w:b/>
        </w:rPr>
        <w:t>E. 6</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rPr>
          <w:b/>
        </w:rPr>
        <w:t>E. 7</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w:t>
      </w:r>
    </w:p>
    <w:p>
      <w:r>
        <w:rPr>
          <w:b/>
        </w:rPr>
        <w:t>E. 11</w:t>
      </w:r>
    </w:p>
    <w:p>
      <w:r>
        <w:t>Le Conseil fédéral a précisé que, dans le cadre de ce projet pilote, le secrétariat d'Etat aux migrations (ci-après :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(cf. ATA/1234/2019 du 13 août 2019 consid. 6b ; ATA/954/2018 du 18 septembre 2018 consid. 7b ; ATA/208/2018 du 6 mars 2018 consid. 9b ; ATA/37/2018 du 16 janvier 2018).</w:t>
      </w:r>
    </w:p>
    <w:p>
      <w:r>
        <w:rPr>
          <w:b/>
        </w:rPr>
        <w:t>E. 12</w:t>
      </w:r>
    </w:p>
    <w:p>
      <w:r>
        <w:t>L'opération Papyrus a pris fin le 31 décembre 2018, « date limite pour le dépôt des dossiers de régularisation dans le cadre du projet » (cf. communiqué de presse du DCES et département de la cohésion sociale du 4 mars 2019, in https://www.ge.ch/document/point-situation-intermediaire-relatif-cloture-du- projet-papyrus-0).</w:t>
      </w:r>
    </w:p>
    <w:p>
      <w:r>
        <w:rPr>
          <w:b/>
        </w:rPr>
        <w:t>E. 13</w:t>
      </w:r>
    </w:p>
    <w:p>
      <w:r>
        <w:t>Il sied enfin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w:t>
      </w:r>
    </w:p>
    <w:p>
      <w:r>
        <w:rPr>
          <w:b/>
        </w:rPr>
        <w:t>E. 14</w:t>
      </w:r>
    </w:p>
    <w:p>
      <w:r>
        <w:t>En l'espèce, il convient d'emblée de relever que même si le recourant est arrivé en Suisse en 2008 et y a obtenu une autorisation de séjour en 2012, la suite de son séjour en Suisse n'est absolument pas documentée, hormis pour ce qui concerne une audition par la police en 2013 et une autre en 2014, ainsi qu'une annonce faite en 2015 à la ville de La Chaux-de-Fonds, concernant son départ pour le canton de</w:t>
      </w:r>
    </w:p>
    <w:p>
      <w:r>
        <w:t>- 10/12 - A/1236/2021 Genève. Or, comme cela a été exposé plus haut (cf. consid. 10), la durée du séjour en Suisse n'est prise en compte, dans le cadre de l'opération Papyrus de même que sous l'angle des critères légaux relatifs au cas individuel d'extrême gravité, que lorsqu'il s'agit d'un séjour continu.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C'est bien le cas en l'espèce, seules quelques rares traces permettant de retenir la présence en Suisse du recourant entre 2013 et 2016, voire 2017. En effet, les attestations produites par le recourant à l'appui de son recours, émanant de personnes de son entourage, concernent la période à partir de 2016, mais ne signifient pas non plus que le recourant aurait, dès cette année-là, séjourné en Suisse de manière continue. Dans ces conditions, on ne saurait exclure avec un degré de vraisemblance suffisant que le recourant a en réalité fait des séjours plus ou moins sporadiques en Suisse, selon les opportunités professionnelles qui se présentaient à lui, et qu'il retournait par ailleurs régulièrement dans son pays d'origine. Dès lors, on ne saurait considérer qu'il aurait depuis longtemps et de manière pratiquement définitive perdu tout lien avec son pays et qu'un départ de Suisse constituerait pour lui un véritable déracinement.</w:t>
      </w:r>
    </w:p>
    <w:p>
      <w:r>
        <w:rPr>
          <w:b/>
        </w:rPr>
        <w:t>E. 15</w:t>
      </w:r>
    </w:p>
    <w:p>
      <w:r>
        <w:t>À ces éléments s'ajoute encore le fait qu'à la suite du refus du renouvellement de son autorisation de séjour, le recourant s'est vu notifier à deux reprises, en 2015 puis en 2018, une décision de renvoi de Suisse. Ainsi, quand bien même son séjour se serait déroulé de manière ininterrompue en Suisse depuis 2008, cela aurait été au mépris de deux décisions lui ordonnant de quitter le territoire et il ne serait donc pas possible non plus de tenir compte d'un séjour poursuivi dans ces conditions.</w:t>
      </w:r>
    </w:p>
    <w:p>
      <w:r>
        <w:rPr>
          <w:b/>
        </w:rPr>
        <w:t>E. 16</w:t>
      </w:r>
    </w:p>
    <w:p>
      <w:r>
        <w:t>Le tribunal ajoutera encore que l'intégration socioprofessionnelle du recourant en Suisse n'est pas exceptionnelle au sens de la jurisprudence mentionnée plus haut, de sorte qu'à lui seul, ce critère ne saurait suppléer l'absence d'un séjour continu de très longue durée.</w:t>
      </w:r>
    </w:p>
    <w:p>
      <w:r>
        <w:rPr>
          <w:b/>
        </w:rPr>
        <w:t>E. 17</w:t>
      </w:r>
    </w:p>
    <w:p>
      <w:r>
        <w:t>Enfin, concernant les conséquences d'un retour au Kosovo, il ne s'agit certes pas de les nier, mais d'examiner si elles pourraient être sensiblement plus difficiles pour le recourant que pour n'importe lequel de ses compatriotes retournant au Kosovo après un séjour à l'étranger. À cet égard, le recourant se contente d'affirmations toutes générales, sans expliquer de manière circonstanciée en quoi, dans son cas, un retour dans son pays d'origine le mettrait dans une situation d'une gravité particulière.</w:t>
      </w:r>
    </w:p>
    <w:p>
      <w:r>
        <w:t>- 11/12 - A/1236/2021</w:t>
      </w:r>
    </w:p>
    <w:p>
      <w:r>
        <w:rPr>
          <w:b/>
        </w:rPr>
        <w:t>E. 18</w:t>
      </w:r>
    </w:p>
    <w:p>
      <w:r>
        <w:t>Au vu de ce qui précède, il s'avère que le recours est infondé et qu'il devra donc être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- 12/12 - A/1236/2021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