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JTAPI/933/2024 vom 18. September 2024</w:t>
      </w:r>
    </w:p>
    <w:p>
      <w:r>
        <w:t>GE Cour de justice, 2024-09-18, FR</w:t>
      </w:r>
    </w:p>
    <w:p>
      <w:r>
        <w:rPr>
          <w:b/>
        </w:rPr>
        <w:t xml:space="preserve">Quelle: </w:t>
      </w:r>
      <w:r>
        <w:t>https://mcp.opencaselaw.ch/entscheid/ge_gerichte_JTAPI_933_2024</w:t>
      </w:r>
    </w:p>
    <w:p>
      <w:r>
        <w:t>FR: GE_GERICHTE JTAPI/933/2024 du 18 septembre 2024</w:t>
      </w:r>
    </w:p>
    <w:p>
      <w:r>
        <w:t>IT: GE_GERICHTE JTAPI/933/2024 del 18 settembre 2024</w:t>
      </w:r>
    </w:p>
    <w:p>
      <w:pPr>
        <w:pStyle w:val="Heading2"/>
      </w:pPr>
      <w:r>
        <w:t>Erwägungen</w:t>
      </w:r>
    </w:p>
    <w:p>
      <w:r>
        <w:rPr>
          <w:b/>
        </w:rPr>
        <w:t>E. 15</w:t>
      </w:r>
    </w:p>
    <w:p>
      <w:r>
        <w:t>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w:t>
      </w:r>
    </w:p>
    <w:p>
      <w:r>
        <w:rPr>
          <w:b/>
        </w:rPr>
        <w:t>E. 16</w:t>
      </w:r>
    </w:p>
    <w:p>
      <w:r>
        <w:t>En l'occurrence, la requête qui se trouve à l'origine de la décision querellée ayant été réceptionnée par l’OCPM le 7 décembre 2018, la loi dans sa teneur antérieure au 1er janvier 2019 reste donc applicable au litige.</w:t>
      </w:r>
    </w:p>
    <w:p>
      <w:r>
        <w:rPr>
          <w:b/>
        </w:rPr>
        <w:t>E. 17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18</w:t>
      </w:r>
    </w:p>
    <w:p>
      <w:r>
        <w:t>Selon l'art. 30 al. 1 let. b LEI, dont la teneur n'a pas changé le 1er janvier 2019, il est possible de déroger aux conditions d'admission d'un étranger en Suisse pour tenir compte d'un cas individuel d'extrême gravité.</w:t>
      </w:r>
    </w:p>
    <w:p>
      <w:r>
        <w:rPr>
          <w:b/>
        </w:rPr>
        <w:t>E. 19</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w:t>
      </w:r>
    </w:p>
    <w:p>
      <w:r>
        <w:t>- 13/21 - A/1036/2024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ATA/667/2021 du 29 juin 2021 consid. 6a ; ATA/121/2021 du 2 février 2021 consid. 7c ; ATA/38/2019 du 15 janvier 2019 consid. 4c).</w:t>
      </w:r>
    </w:p>
    <w:p>
      <w:r>
        <w:rPr>
          <w:b/>
        </w:rPr>
        <w:t>E. 20</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t>- 14/21 - A/1036/2024</w:t>
      </w:r>
    </w:p>
    <w:p>
      <w:r>
        <w:rPr>
          <w:b/>
        </w:rPr>
        <w:t>E. 21</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ATA/667/2021 du 29 juin 2021 consid. 6b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22</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w:t>
      </w:r>
    </w:p>
    <w:p>
      <w:r>
        <w:rPr>
          <w:b/>
        </w:rPr>
        <w:t>E. 23</w:t>
      </w:r>
    </w:p>
    <w:p>
      <w:r>
        <w:t>La durée du séjour (légal ou non) est ainsi un critère nécessaire, mais pas suffisant, à lui seul, pour la reconnaissance d'un cas de rigueur (ATA/847/2021 du 24 août 2021 consid. 7e ; ATA/1538/2017 du 28 novembre 2017 ; Minh Son NGUYEN/Cesla AMARELLE, Code annoté de droit des migrations, vol. II : LEtr, 2017, p. 269 et les références citées). Le simple fait, pour un étranger, de séjourner en Suisse pendant de longues années, y compris à titre légal, ne permet donc pas d'admettre un cas personnel d'extrême gravité sans que n'existent d'autres circonstances tout à fait exceptionnelles (ATAF 2007/16 consid. 7 ; arrêt du Tribunal administratif fédéral E-643/2016 du 24 juillet 2017 consid. 5.1 et les références citées ; cf. ég., sous l'ancien droit, ATF 124 II 110 consid. 3 ; arrêt du Tribunal fédéral 2A.540/2005 du 11 novembre 2005 consid. 3.2.1). La jurisprudence requiert, de manière générale, une très longue durée de séjour en Suisse, soit une période de sept à huit ans (ATA/667/2021 du 29 juin 2021 consid.</w:t>
      </w:r>
    </w:p>
    <w:p>
      <w:r>
        <w:t>- 15/21 - A/1036/2024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Néanmoins, si le séjour illégal d'un étranger a toujours été implicitement toléré par les autorités chargées de l'exécution du renvoi (communes ou cantons), cet aspect doit être favorablement pris en compte (ATA/847/2021 du</w:t>
      </w:r>
    </w:p>
    <w:p>
      <w:r>
        <w:rPr>
          <w:b/>
        </w:rPr>
        <w:t>E. 24</w:t>
      </w:r>
    </w:p>
    <w:p>
      <w:r>
        <w:t>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rPr>
          <w:b/>
        </w:rPr>
        <w:t>E. 25</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w:t>
      </w:r>
    </w:p>
    <w:p>
      <w:r>
        <w:t>- 16/21 - A/1036/2024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 ;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26</w:t>
      </w:r>
    </w:p>
    <w:p>
      <w:r>
        <w:t>L'opération « Papyrus » a consisté en un processus de régularisation des personnes séjournant à Genève sans titre de séjour, élaboré par le département de la sécurité, de l'emploi et de la santé, à présent département de la sécurité, de la population et de la santé (ci-après : DSPS), « dans le strict respect du cadre légal en vigueur (art.</w:t>
      </w:r>
    </w:p>
    <w:p>
      <w:r>
        <w:rPr>
          <w:b/>
        </w:rPr>
        <w:t>E. 30</w:t>
      </w:r>
    </w:p>
    <w:p>
      <w:r>
        <w:t>En l'espèce, après un examen circonstancié du dossier et des pièces versées à la procédure, on doit parvenir à la conclusion que l'OCPM n'a pas mésusé de son pouvoir d'appréciation en considérant que le recourant ne satisfaisait pas aux conditions strictes requises par les art. 30 al. 1 let. b LEI et 31 OASA pour la reconnaissance d'un cas de rigueur, y compris sous l'angle particulier de l'opération « Papyrus ». Le recourant allègue séjourner à Genève de manière continue depuis 2008, mais il n’en a pas apporté la preuve. En effet, il ressort de l’ordonnance pénale prononcée à son encontre que les documents établis par O______ Sàrl (couvrant trois jours en 2008 et trois jours en 2009) et par E______ Sàrl (couvrant trois jours en 2011) étaient faux, que l’attestation établie par G______ Sàrl (couvrant la période du 28 août 2014 au 24 novembre 2017) était erronée et que tous les documents étaient antidatés. Ces pièces, devront ainsi être écartées de la procédure. En outre, même s’il ressort des lettres de recommandation et de soutien que leurs signataires ont fait la connaissance du recourant à Genève entre 2012 et 2014, elles ne suffisent pas à démontrer la continuité de son séjour depuis 2008. Il en va de même de l’attestation établie par les TPG indiquant l’achat d’abonnements du 15 août 2012 au 24 juillet 2013, puis du 24 août au 24 novembre 2018. Il faut encore relever que lors de son audition par la police le 13 juin 2020, le recourant a déclaré que jusqu’en 2014, il avait travaillé très sporadiquement auprès de diverses entreprises, puis qu'à partir de 2014, il avait irrégulièrement travaillé auprès de son employeur pendant quatre ans, à raison d’environ trois mois par année. Ces explications, qui omettent complètement la question de savoir comment le recourant aurait subsisté en Suisse en y travaillant pendant de si courtes périodes, tendent fortement à démontrer qu'il n'effectuait que des séjours sporadiques en Suisse, entre lesquels il rentrait vraisemblablement au Kosovo ou se rendait éventuellement dans d'autres pays au gré des opportunités professionnelles. C’est également le lieu de relever qu’au jour du prononcé du présent jugement, le recourant n’a toujours pas produit le relevé de son compte auprès de M______. Dans ces circonstances et dans l’hypothèse qui lui soit la plus favorable, il y a lieu de retenir que les preuves de la présence continue du recourant à Genève remontent au mois d’août 2018. Force est de constater que le recourant ne totalisait manifestement pas dix ans de séjour continu à Genève, le 7 décembre 2018, date du dépôt de sa demande d’autorisation de séjour. Il ne remplissait ainsi pas l’un des critères stricts et cumulatifs de l’opération « Papyrus ». Il ne peut par conséquent pas s'en prévaloir, ce d’autant qu’il a fait l’objet d’une condamnation pénale le 10 juillet 2020, notamment pour faux dans les certificats (art. 252 CP), infraction qui ne relève pas du séjour illégal. Il n'y a pas non plus lieu de retenir un séjour sans interruption d’une longue durée, au sens défini plus haut, étant relevé qu’il a été effectué à la faveur d’une tolérance</w:t>
      </w:r>
    </w:p>
    <w:p>
      <w:r>
        <w:t>- 19/21 - A/1036/2024 des autorités depuis le dépôt de sa demande le 7 décembre 2018. En tout état,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 Le recourant ne peut en effet pas se prévaloir d’une intégration socio- professionnelle exceptionnelle. L’emploi qu’il exerce en qualité de chauffeur/livreur ne témoigne pas d’une ascension professionnelle remarquable et il n’a pas acquis des qualifications spécifiques susceptibles de justifier l'admission d'un cas de rigueur au sens de l'art. 30 al. 1 let. b LEI. Il ne peut pas non plus se prévaloir d’un comportement irréprochable. Il a non seulement séjourné et travaillé illégalement en Suisse durant plusieurs années, ce qui est en soi déjà répréhensible (arrêts du Tribunal fédéral administratif F-989/2022 du 17 mai 2023 consid. 8.6 ; F- 5341/2020 du 7 février 2022 consid. 6.5), mais il a également fait l’objet de la condamnation susmentionnée. Sur le plan social, bien qu’il ait produit un document daté du 18 octobre 2018, attestant d’un niveau de français A2, à l’oral, il ressort du dossier qu’il était assisté d’un traducteur lors de son audition par la police le 13 juin 2020, car il ne parlait qu’albanais. Par ailleurs, le recourant n’a pas démontré avoir noué avec la Suisse des liens dépassant en intensité ce qui peut être raisonnablement attendu d’un étranger ayant passé un nombre d'années équivalent dans le pays. De plus, le recourant est né au Kosovo, où il a passé son enfance et son adolescence, soit les périodes cruciales pour l’intégration socio-culturelle, et le début de sa vie d’adulte. Il a également conservé de fortes attaches avec sa patrie, où vivent, à tout le moins, son épouse, ses enfants, ses parents, son frère et ses sœurs. Il ressort également du dossier qu’il a sollicité des visas de retour, les 17 décembre 2018, 2 septembre 2019, 14 février 2020, 10 mai 2021 et 9 mai 2022 afin de rendre visite à sa famille au Kosovo. En tout état,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le recourant a pu se créer en Suisse dépasseraient en intensité ce qui peut être raisonnablement attendu d’étrangers ayant passé un nombre d'années équivalent dans le pays. Il ne peut en tous cas pas se prévaloir d’une intégration sociale remarquable. Ni l'âge du recourant, ni la durée de son séjour sur le territoire, ni encore les inconvénients pratiques auxquels il pourra éventuellement se heurter en cas de retour dans son pays ne constituent des circonstances si singulières qu'il faille</w:t>
      </w:r>
    </w:p>
    <w:p>
      <w:r>
        <w:t>- 20/21 - A/1036/2024 considérer qu'il se trouverait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31</w:t>
      </w:r>
    </w:p>
    <w:p>
      <w:r>
        <w:t>Il ressort de ce qui précède que l'autorité intimée n'a violé ni le droit conventionnel, ni le droit fédéral, ni encore excédé ou abusé de son pouvoir d'appréciation (art. 96 LEI) en refusant de délivrer l’autorisation de séjour sollicitée.</w:t>
      </w:r>
    </w:p>
    <w:p>
      <w:r>
        <w:rPr>
          <w:b/>
        </w:rPr>
        <w:t>E. 32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(ATA/631/2023 du 13 juin 2023 consid. 3.1).</w:t>
      </w:r>
    </w:p>
    <w:p>
      <w:r>
        <w:rPr>
          <w:b/>
        </w:rPr>
        <w:t>E. 33</w:t>
      </w:r>
    </w:p>
    <w:p>
      <w:r>
        <w:t>Le recourant n'obtenant pas d'autorisation de séjour, c'est à bon droit que l'autorité intimée a prononcé son renvoi de Suisse. Il n'apparaît en outre pas que l'exécution de cette mesure ne serait pas possible, serait illicite ou qu'elle ne pourrait être raisonnablement exigée (art. 83 LEI).</w:t>
      </w:r>
    </w:p>
    <w:p>
      <w:r>
        <w:rPr>
          <w:b/>
        </w:rPr>
        <w:t>E. 34</w:t>
      </w:r>
    </w:p>
    <w:p>
      <w:r>
        <w:t>Entièrement mal fondé, le recours sera rejeté et la décision contestée confirmée.</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qui est couverte par l'avance de frais de même montant versée suite au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- 21/21 - A/1036/2024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