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JTAPI/930/2023 vom 30. August 2023</w:t>
      </w:r>
    </w:p>
    <w:p>
      <w:r>
        <w:t>GE Cour de justice, 2023-08-30, FR</w:t>
      </w:r>
    </w:p>
    <w:p>
      <w:r>
        <w:rPr>
          <w:b/>
        </w:rPr>
        <w:t xml:space="preserve">Quelle: </w:t>
      </w:r>
      <w:r>
        <w:t>https://mcp.opencaselaw.ch/entscheid/ge_gerichte_JTAPI_930_2023</w:t>
      </w:r>
    </w:p>
    <w:p>
      <w:r>
        <w:t>FR: GE_GERICHTE JTAPI/930/2023 du 30 août 2023</w:t>
      </w:r>
    </w:p>
    <w:p>
      <w:r>
        <w:t>IT: GE_GERICHTE JTAPI/930/2023 del 30 agosto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et les références citées). L’art. 41 al. 1 de l’ordonnance sur l’aménagement du territoire du 28 juin 2000 (OAT - RS 700.1) précise qu’il s’agit de constructions et installations « érigées ou transformées légalement avant l’attribution du bien- fonds à un territoire non constructible au sens du droit fédéral ». Les possibilités offertes par l'art. 24c LAT ne peuvent être utilisées qu'une seule fois (arrêt du Tribunal fédéral 1C_347/2014 du 16 janvier 2015 consid. 3.5). La garantie de la situation acquise de l'art.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Piermarco ZEN-RUFFINEN/Christine GUY-ECABERT, Aménagement du territoire, construction, expropriation, 2001, n. 598 p. 280 et les références) (arrêt du Tribunal fédéral 1C_502/2008 du 10 juin 2009 consid. 2.1). La non-conformité doit résulter d'une modification de la situation juridique (cf. Rudolf MUGGLI, Commentaire LAT, 2010, n. 11 ad art. 24c LAT) (arrêt du Tribunal fédéral 1C_249/2017 du 14 novembre 2017 consid. 5.1).</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4</w:t>
      </w:r>
    </w:p>
    <w:p>
      <w:r>
        <w:t>Les arguments formulés par les parties à l'appui de leurs conclusions respectives seront repris et discutés dans la mesure utile (cf. arrêts du Tribunal fédéral</w:t>
      </w:r>
    </w:p>
    <w:p>
      <w:r>
        <w:t>- 8/17 - A/4378/2022 1C_72/2017 du 14 septembre 2017 consid. 4.1 ; 1D_2/2017 du 22 mars 2017 consid. 5.1), étant rappelé que, saisi d'un recours, le tribunal applique le droit d'office et que s'il ne peut pas aller au-delà des conclusions des parties, il n'est pas lié par les motifs qu'elles invoquent (art. 69 al. 1 LPA ; ATF 140 III 86 consid. 2 ; ATA/1024/2020 du 13 octobre 2020 consid. 1).</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w:t>
      </w:r>
    </w:p>
    <w:p>
      <w:r>
        <w:rPr>
          <w:b/>
        </w:rPr>
        <w:t>E. 5.1</w:t>
      </w:r>
    </w:p>
    <w:p>
      <w:r>
        <w:t>; arrêts du Tribunal fédéral 1C_197/2021 du 12 novembre 2021 consid. 2.1.5 ; 2C_199/2017 du 12 juin 2018 consid. 3.5).</w:t>
      </w:r>
    </w:p>
    <w:p>
      <w:r>
        <w:rPr>
          <w:b/>
        </w:rPr>
        <w:t>E. 5.5</w:t>
      </w:r>
    </w:p>
    <w:p>
      <w:r>
        <w:t>;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w:t>
      </w:r>
    </w:p>
    <w:p>
      <w:r>
        <w:t>- 12/17 - A/4378/2022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6</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7</w:t>
      </w:r>
    </w:p>
    <w:p>
      <w:r>
        <w:t>La recourante invoque un défaut de motivation de la décision querellée.</w:t>
      </w:r>
    </w:p>
    <w:p>
      <w:r>
        <w:rPr>
          <w:b/>
        </w:rPr>
        <w:t>E. 8</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w:t>
      </w:r>
    </w:p>
    <w:p>
      <w:r>
        <w:t>- 9/17 - A/4378/2022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w:t>
      </w:r>
    </w:p>
    <w:p>
      <w:r>
        <w:rPr>
          <w:b/>
        </w:rPr>
        <w:t>E. 9</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10</w:t>
      </w:r>
    </w:p>
    <w:p>
      <w:r>
        <w:t>En l'espèce, suite à la constatation, par un inspecteur du département lors du contrôle de la parcelle le 24 juin 2022 qu’un ou plusieurs éléments soumis à la LCI avaient été réalisés sans autorisation, l'autorité intimée a adressé à la recourante un courrier daté du 15 juillet 2022 lui octroyant un délai de dix jours pour faire part de son point de vue et de ses explications quant à cette situation. La recourante y a répondu le 30 septembre 2022, faisant notamment référence à une séance qui s’était déroulée le 26 août 2022 concernant la procédure d’infraction I- 10______ et lors de laquelle la situation des deux bâtiments litigieux avait été évoquée.</w:t>
      </w:r>
    </w:p>
    <w:p>
      <w:r>
        <w:t>- 10/17 - A/4378/2022</w:t>
      </w:r>
    </w:p>
    <w:p>
      <w:r>
        <w:t>La décision querellée a été adressée à la recourante le 11 novembre 2022, laquelle concerne tant le bâtiment n°2______ que les deux bâtiments litigieux. S'agissant de sa motivation relativement aux deux bâtiments, elle mentionne les dispositions légales applicables, le motif fondant le prononcé de l'ordre de démolir et de remise en état de ceux-ci, à savoir leur soumission à l’obtention d’une autorisation de construire, autorisation qu’il serait superfétatoire de solliciter dès lors que les bâtiments ne pouvaient être maintenus. La décision se réfère par ailleurs expressément à la séance du 26 août 2022 et aux explications et observations de la recourante du mois du 30 septembre 2022. Au demeurant, la recourante a eu l'occasion de prendre connaissance des arguments développés par l'autorité intimée dans la réponse au recours et d'y répliquer, de sorte qu'une éventuelle violation de son droit d'être entendu aurait amplement été réparée dans le cadre de la présente procédure.</w:t>
      </w:r>
    </w:p>
    <w:p>
      <w:r>
        <w:t>Le grief selon lequel la décision querellée était insuffisamment motivée doit dès lors également être rejeté.</w:t>
      </w:r>
    </w:p>
    <w:p>
      <w:r>
        <w:rPr>
          <w:b/>
        </w:rPr>
        <w:t>E. 11</w:t>
      </w:r>
    </w:p>
    <w:p>
      <w:r>
        <w:t>La recourante ne conteste que l’ordre de démolir les bâtiments n°s 5______ et 6______. Elle estime que ces démolitions violeraient l’art. 24 c LAT ainsi que les principes de la proportionnalité et de la bonne foi.</w:t>
      </w:r>
    </w:p>
    <w:p>
      <w:r>
        <w:rPr>
          <w:b/>
        </w:rPr>
        <w:t>E. 12</w:t>
      </w:r>
    </w:p>
    <w:p>
      <w:r>
        <w:t>Selon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(art. 22 al. 2 let. a LAT) et si le terrain est équipé (art. 22 al. 2 let. b LAT). Le droit fédéral et le droit cantonal peuvent poser d'autres conditions (art. 22 al. 3 LAT).</w:t>
      </w:r>
    </w:p>
    <w:p>
      <w:r>
        <w:rPr>
          <w:b/>
        </w:rPr>
        <w:t>E. 13</w:t>
      </w:r>
    </w:p>
    <w:p>
      <w:r>
        <w:t>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w:t>
      </w:r>
    </w:p>
    <w:p>
      <w:r>
        <w:rPr>
          <w:b/>
        </w:rPr>
        <w:t>E. 14</w:t>
      </w:r>
    </w:p>
    <w:p>
      <w:r>
        <w:t>Aux termes de l'art. 24c al. 1 LAT, hors de la zone à bâtir, les constructions et installations qui peuvent être utilisées conformément à leur destination mais qui</w:t>
      </w:r>
    </w:p>
    <w:p>
      <w:r>
        <w:t>- 11/17 - A/4378/2022 ne sont plus conformes à l'affectation de la zone bénéficient en principe de la garantie de la situation acquise.</w:t>
      </w:r>
    </w:p>
    <w:p>
      <w:r>
        <w:rPr>
          <w:b/>
        </w:rPr>
        <w:t>E. 15</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w:t>
      </w:r>
    </w:p>
    <w:p>
      <w:r>
        <w:rPr>
          <w:b/>
        </w:rPr>
        <w:t>E. 16</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w:t>
      </w:r>
    </w:p>
    <w:p>
      <w:r>
        <w:rPr>
          <w:b/>
        </w:rPr>
        <w:t>E. 17</w:t>
      </w:r>
    </w:p>
    <w:p>
      <w:r>
        <w:t>L'intérêt privé de pouvoir continuer à profiter de constructions et d'utilisations illégales en dehors de la zone à bâtir ne pèse pas lourd (ATF 147 II 309 consid. 5.6)</w:t>
      </w:r>
    </w:p>
    <w:p>
      <w:r>
        <w:rPr>
          <w:b/>
        </w:rPr>
        <w:t>E. 18</w:t>
      </w:r>
    </w:p>
    <w:p>
      <w:r>
        <w:t>Dans son arrêt du 28 avril 2021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w:t>
      </w:r>
    </w:p>
    <w:p>
      <w:r>
        <w:rPr>
          <w:b/>
        </w:rPr>
        <w:t>E. 19</w:t>
      </w:r>
    </w:p>
    <w:p>
      <w:r>
        <w:t>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w:t>
      </w:r>
    </w:p>
    <w:p>
      <w:r>
        <w:rPr>
          <w:b/>
        </w:rPr>
        <w:t>E. 20</w:t>
      </w:r>
    </w:p>
    <w:p>
      <w:r>
        <w:t>Depuis l’arrêt du Tribunal fédéral susmentionné, quatre conditions cumulatives sont nécessaires pour un ordre de remise en état à savoir que l'ordre doit être dirigé contre le perturbateur, que les installations en cause ne doivent pas avoir été autorisées en vertu du droit en vigueur au moment de leur réalisation, que l'autorité ne doit pas avoir créé chez l'administré concerné, que ce soit par des promesses, par des infractions, des assurances ou encore un comportement des conditions telles qu'elle serait liée par la bonne foi et que l'intérêt public au rétablissement d'une situation conforme au droit doit l'emporter sur l'intérêt privé de l'intéressé au maintien des installations litigieuses (ATA/77/2023 du 24 janvier 2023 ; ATA/1030/2018 du 2 octobre 2018 consid. 6c et les références citées).</w:t>
      </w:r>
    </w:p>
    <w:p>
      <w:r>
        <w:t>- 13/17 - A/4378/2022</w:t>
      </w:r>
    </w:p>
    <w:p>
      <w:r>
        <w:rPr>
          <w:b/>
        </w:rPr>
        <w:t>E. 21</w:t>
      </w:r>
    </w:p>
    <w:p>
      <w:r>
        <w:t>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Les constructions « illicites », in DC 2019, p. 213).</w:t>
      </w:r>
    </w:p>
    <w:p>
      <w:r>
        <w:rPr>
          <w:b/>
        </w:rPr>
        <w:t>E. 22</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w:t>
      </w:r>
    </w:p>
    <w:p>
      <w:r>
        <w:rPr>
          <w:b/>
        </w:rPr>
        <w:t>E. 23</w:t>
      </w:r>
    </w:p>
    <w:p>
      <w:r>
        <w:t>Dans la règle, l’intérêt public majeur à la préservation des zones agricoles et la distinction fondamentale entre espace bâti et non-bâti l’emporte (arrêt du Tribunal fédéral 1C_60/2021 du 27 juillet 2021 consid. 3.4.2 confirmant l'ATA/1304/2020 du 15 décembre 2020; arrêt du Tribunal fédéral 1C_233/2014 du 23 février 2015 consid. 4).</w:t>
      </w:r>
    </w:p>
    <w:p>
      <w:r>
        <w:rPr>
          <w:b/>
        </w:rPr>
        <w:t>E. 24</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25</w:t>
      </w:r>
    </w:p>
    <w:p>
      <w:r>
        <w:t>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op. cit., p. 218).</w:t>
      </w:r>
    </w:p>
    <w:p>
      <w:r>
        <w:rPr>
          <w:b/>
        </w:rPr>
        <w:t>E. 26</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w:t>
      </w:r>
    </w:p>
    <w:p>
      <w:r>
        <w:t>- 14/17 - A/4378/2022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w:t>
      </w:r>
    </w:p>
    <w:p>
      <w:r>
        <w:rPr>
          <w:b/>
        </w:rPr>
        <w:t>E. 27</w:t>
      </w:r>
    </w:p>
    <w:p>
      <w:r>
        <w:t>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op. cit.,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Des délais de vingt-quatre voire vingt ans peuvent suffire (arrêt du Tribunal fédéral 1C_176/2009 du 28 janvier 2010 consid. 2.2.2 et les références citées). Récemment, la chambre administrative de la Cour de justice a retenu un telle violation dans le cadre de la présence d’un paddock et d’un marcheur dans un manège pendant plus de vingt ans (ATA/77/2023 du 24 janvier 2023).</w:t>
      </w:r>
    </w:p>
    <w:p>
      <w:r>
        <w:rPr>
          <w:b/>
        </w:rPr>
        <w:t>E. 28</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29</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w:t>
      </w:r>
    </w:p>
    <w:p>
      <w:r>
        <w:t>- 15/17 - A/4378/2022 connaissait ou aurait dû connaître (arrêt du Tribunal fédéral 1P.292/2004 du 29 juillet 2004 consid. 2.1 ; ATA/1299/2019 du 27 août 2019 consid. 3d).</w:t>
      </w:r>
    </w:p>
    <w:p>
      <w:r>
        <w:rPr>
          <w:b/>
        </w:rPr>
        <w:t>E. 30</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rPr>
          <w:b/>
        </w:rPr>
        <w:t>E. 31</w:t>
      </w:r>
    </w:p>
    <w:p>
      <w:r>
        <w:t>En l’espèce, selon les éléments au dossier, les deux bâtiments litigieux sont présents sur la parcelle depuis les années soixante en tout cas ; ils sont cadastrés. Ils n’ont cependant jamais fait l’objet d’une autorisation de construire, ce que la recourante ne conteste finalement pas. Le fait que, selon elle, ils auraient pu être autorisés selon les dispositions légales en vigueur au moment de leur édification n’y change rien. Le département a été amené à trois reprises au moins (DD 7______, DD 8______ et M 9______) postérieurement à l’édification des deux bâtiments, à se pencher sur des projets relatifs à la parcelle n° 1______. Il s’est en particulier penché sur la démolition du bâtiment n° 4______ et la piscine. Dans les plans fournis à l’appui des trois requêtes, le bâtiment litigieux n°5______ y a toujours figuré et le bâtiment n° 6______ apparait dans les plans de la DD 8______ et de la M 9______. Dans le cadre de l’instruction de ces requêtes, de nombreuses instances se sont prononcées, sans aucune remarque particulière sur la présence de ces bâtiments. Toutefois, l’OCAN, dans son préavis favorable du 7 juin 2021 rendu dans le cadre de l’instruction de la DD 8______ avait relevé : « Nous laissons toutefois le soin aux autorités compétentes (OU ou OAC) d’apprécier les conditions d’application et le respect des seuils fixés aux articles 41 et 42 de l’OAT, notamment la légalité des aménagements d’origine ». Cette remarque n’a pas conduit le département à remettre en cause la présence des deux bâtiments litigieux ni à approfondir la question de leur légalité. Ce n’est que suite à l’effondrement du bâtiment n°2______ en cours de travaux que le département, en se rendant sur la parcelle a, pour la première fois abordé la question des bâtiments litigieux, pour en demander ensuite la démolition et l’évacuation. Dès lors, en remettant en cause l’existence de ces deux bâtiments dont il avait jusque-là pris acte et dont la présence ne l'avait pas empêché d’autoriser des transformations du bâtiment n°2______ et la démolition de la piscine et du garage</w:t>
      </w:r>
    </w:p>
    <w:p>
      <w:r>
        <w:t>- 16/17 - A/4378/2022 n°4______, ainsi que le réaménagement de la parcelle, ce dans le cadre de plusieurs autorisations, il doit retenu que le département s’est comporté de manière contraire aux règles de la bonne foi. En conséquence, la recourante peut se prévaloir de sa bonne foi en relation avec l'écoulement du temps et la « tolérance active », voire la passivité des autorités depuis plusieurs dizaines d’années, lesquelles ne sont pas intervenues jusqu’en 2022, n’ont pas pris de mesures à leur encontre pendant toutes ces années, ni émis de décision, et en validant les plans le cadre des autorisations délivrées indiquant la présence de ces bâtiments.</w:t>
      </w:r>
    </w:p>
    <w:p>
      <w:r>
        <w:rPr>
          <w:b/>
        </w:rPr>
        <w:t>E. 32</w:t>
      </w:r>
    </w:p>
    <w:p>
      <w:r>
        <w:t>Au vu de ce qui précède, le recours sera admis et la décision contestée annulée en ce qu’elle porte sur la démolition et l’évacuation des bâtiments n°s 5______ et 6______ et la remise en état du terrain naturel.</w:t>
      </w:r>
    </w:p>
    <w:p>
      <w:r>
        <w:rPr>
          <w:b/>
        </w:rPr>
        <w:t>E. 33</w:t>
      </w:r>
    </w:p>
    <w:p>
      <w:r>
        <w:t>En application des art. 87 al. 1 LPA et 1 et 2 du règlement sur les frais, émoluments et indemnités en procédure administrative du 30 juillet 1986 (RFPA - E 5 10.03), la recourante, qui obtient gain de cause, est exonérée de tout émolument. Son avance de frais de CHF 900.- lui sera restituée.</w:t>
      </w:r>
    </w:p>
    <w:p>
      <w:r>
        <w:rPr>
          <w:b/>
        </w:rPr>
        <w:t>E. 34</w:t>
      </w:r>
    </w:p>
    <w:p>
      <w:r>
        <w:t>Vu l’issue du litige, une indemnité de procédure de CHF 1'500.-, à la charge du département du territoire, sera allouée à la recourante (art. 87 al. 2 à 4 LPA et 6 RFPA).</w:t>
      </w:r>
    </w:p>
    <w:p>
      <w:r>
        <w:t>- 17/17 - A/4378/2022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