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JTAPI/929/2024 vom 18. September 2024</w:t>
      </w:r>
    </w:p>
    <w:p>
      <w:r>
        <w:t>GE Cour de justice, 2024-09-18, FR</w:t>
      </w:r>
    </w:p>
    <w:p>
      <w:r>
        <w:rPr>
          <w:b/>
        </w:rPr>
        <w:t xml:space="preserve">Quelle: </w:t>
      </w:r>
      <w:r>
        <w:t>https://mcp.opencaselaw.ch/entscheid/ge_gerichte_JTAPI_929_2024</w:t>
      </w:r>
    </w:p>
    <w:p>
      <w:r>
        <w:t>FR: GE_GERICHTE JTAPI/929/2024 du 18 septembre 2024</w:t>
      </w:r>
    </w:p>
    <w:p>
      <w:r>
        <w:t>IT: GE_GERICHTE JTAPI/929/2024 del 18 settembre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le recourant sollicite du tribunal la tenue d’une audience de comparution personnelle ainsi que l’audition de sa tante, Mme G______.</w:t>
      </w:r>
    </w:p>
    <w:p>
      <w:r>
        <w:rPr>
          <w:b/>
        </w:rPr>
        <w:t>E. 4</w:t>
      </w:r>
    </w:p>
    <w:p>
      <w:r>
        <w:t>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w:t>
      </w:r>
    </w:p>
    <w:p>
      <w:r>
        <w:rPr>
          <w:b/>
        </w:rPr>
        <w:t>E. 5</w:t>
      </w:r>
    </w:p>
    <w:p>
      <w:r>
        <w:t>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du recourant. Ce dernier, assisté d’un conseil, a d’ailleurs eu la possibilité de faire valoir ses arguments à plusieurs reprises par écrit dans le cadre de la présente procédure et de produire toutes les pièces qu’il estimait utiles à l’appui de ses allégués, sans expliquer en quoi son audition s'avérerait plus utile. Quant à l’audition de son tante, elle n’apparaît pas déterminante. En effet, outre le fait que le dossier contient déjà une attestation écrite de cette dernière, son témoignage serait de toute manière sujet à caution et ne répondrait pas au critère du témoignage « engageant », compte tenu des liens familiaux qui la lient au recourant.</w:t>
      </w:r>
    </w:p>
    <w:p>
      <w:r>
        <w:t>- 6/13 - A/2941/2023 Partant, il ne sera pas donné suite aux mesures d’instruction requises, en soi non obligatoires.</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Le recourant conteste la décision de l’OCPM, en tant qu’elle constate la caducité de son autorisation d’établissement.</w:t>
      </w:r>
    </w:p>
    <w:p>
      <w:r>
        <w:rPr>
          <w:b/>
        </w:rPr>
        <w:t>E. 9</w:t>
      </w:r>
    </w:p>
    <w:p>
      <w:r>
        <w:t>Le 1er janvier 2019, est entrée en vigueur une modification de la LEtr, devenue la LEI. En l'absence de dispositions transitoires, la règle générale selon laquelle s'appliquent aux faits dont les conséquences juridiques sont en cause les normes en vigueur au moment où lesdits faits se sont produits (ATA/1694/2019 du 19 novembre 2019 consid. 2a; ATA/847/2018 du 21 août 2018 consid. 3c et les références citées), prévaut. Dans le cas particulier, les faits pertinents pour le constat de la caducité se sont déroulés avant le 1er janvier 2019, tandis que ceux relatifs au refus d’octroi d’une nouvelle autorisation se sont déroulés après cette date. Pour le premier volet, compte tenu du fait que l’application du nouveau droit ne conduirait pas à une issue différente de l’examen de l’affaire sous l’angle des anciennes dispositions, il y a lieu d’appliquer la LEI dans sa teneur en vigueur jusqu’au 31 décembre 2018, étant précisé que la plupart des dispositions de la LEI sont demeurées identiques. Pour le second volet, le nouveau droit est applicable.</w:t>
      </w:r>
    </w:p>
    <w:p>
      <w:r>
        <w:rPr>
          <w:b/>
        </w:rPr>
        <w:t>E. 10</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dont notamment l’ALCP.</w:t>
      </w:r>
    </w:p>
    <w:p>
      <w:r>
        <w:t>- 7/13 - A/2941/2023</w:t>
      </w:r>
    </w:p>
    <w:p>
      <w:r>
        <w:rPr>
          <w:b/>
        </w:rPr>
        <w:t>E. 11</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(Directives OLCP-1/2024 éditées par le secrétariat d'État aux migrations [ci-après : SEM], chiffre 1.2.3, p. 11). Les conditions au maintien d'une autorisation de séjour étant plus larges selon la LEI, l'art. 61 al. 2 LEI est applicable (ATA/1793/2019 consid. 3b).</w:t>
      </w:r>
    </w:p>
    <w:p>
      <w:r>
        <w:rPr>
          <w:b/>
        </w:rPr>
        <w:t>E. 12</w:t>
      </w:r>
    </w:p>
    <w:p>
      <w:r>
        <w:t>En l’espèce, il n’est pas contesté que la question de savoir si le permis de séjour du recourant est devenu caduc est régie par la LEI, nonobstant sa nationalité portugaise.</w:t>
      </w:r>
    </w:p>
    <w:p>
      <w:r>
        <w:rPr>
          <w:b/>
        </w:rPr>
        <w:t>E. 13</w:t>
      </w:r>
    </w:p>
    <w:p>
      <w:r>
        <w:t>L'autorisation d'établissement est octroyée pour une durée indéterminée (art. 34 al. 1 LEI). Cela ne signifie toutefois pas qu'elle est valable ad aeternam, ne serait-ce que parce que le droit de séjour ne peut subsister que s'il repose effectivement sur la présence personnelle de l'étranger (ATA/1155/2018 du 20 octobre 2018 consid. 3a ; Directives et commentaires du SEM, Domaine des étrangers, état au 1er juin 2024, ch. 3.4.3 [ci-après : Directives LEI]). Ainsi, selon l’art. 61 al. 2 LEI, l’autorisation d’établissement d’un étranger quittant la Suisse sans déclarer son départ prend automatiquement fin après six mois. Sur demande, ladite autorisation peut être maintenue pendant quatre ans.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w:t>
      </w:r>
    </w:p>
    <w:p>
      <w:r>
        <w:rPr>
          <w:b/>
        </w:rPr>
        <w:t>E. 14</w:t>
      </w:r>
    </w:p>
    <w:p>
      <w:r>
        <w:t>L’extinction de l’autorisation au sens de l’art. 61 LEI s’opère de jure (arrêt du Tribunal administratif fédéral F-139/2016 du 11 avril 2017 consid. 5.1 et les références citées),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w:t>
      </w:r>
    </w:p>
    <w:p>
      <w:r>
        <w:t>- 8/13 - A/2941/2023 l'art. 96 LEI, à un examen de la proportionnalité (arrêt du Tribunal fédéral 2C_19/2017 du 21 septembre 2017 consid. 5).</w:t>
      </w:r>
    </w:p>
    <w:p>
      <w:r>
        <w:rPr>
          <w:b/>
        </w:rPr>
        <w:t>E. 15</w:t>
      </w:r>
    </w:p>
    <w:p>
      <w:r>
        <w:t>Une autorisation de séjour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 120 Ib 369 consid. 2c ; arrêt du Tribunal fédéral 2C_158/2020 du 21 août 2020 consid. 3.2 ; 2C_19/2017 du 21 septembre 2017 consid. 4.1). Un étranger titulaire d'une autorisation d'établissement perd cette dernière s'il s'établit en France voisine et y vit comme un frontalier (ATA/1793/2019 du 10 décembre 2019 et les références citées).</w:t>
      </w:r>
    </w:p>
    <w:p>
      <w:r>
        <w:rPr>
          <w:b/>
        </w:rPr>
        <w:t>E. 16</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rPr>
          <w:b/>
        </w:rPr>
        <w:t>E. 17</w:t>
      </w:r>
    </w:p>
    <w:p>
      <w:r>
        <w:t>La chambre administrative de la Cour de justice (ci-après : la chambre administrative) a récemment confirmé la caducité de l’autorisation d’établissement d’un recourant, qui n’avait pas annoncé son départ de Suisse et conservé l’adresse de son logement à Genève, alors qu’il avait en fait déménagé avec sa famille en France voisine où il était propriétaire d’un bien immobilier. La chambre administrative a retenu que le centre d’intérêts du recourant se trouvait, non pas à Genève, mais en France voisine où, partant, il séjournait au sens de la loi (ATA/431/2024 du 26 mars 2024).</w:t>
      </w:r>
    </w:p>
    <w:p>
      <w:r>
        <w:rPr>
          <w:b/>
        </w:rPr>
        <w:t>E. 18</w:t>
      </w:r>
    </w:p>
    <w:p>
      <w:r>
        <w:t>Dans un autre arrêt, la chambre administrative a confirmé la caducité de l’autorisation de séjour d’un recourant et de sa fille dont le centre des intérêts se trouvait, non pas à Genève, où ils louaient un studio, travaillait, respectivement étudiait, mais à Veigy-Foncenex (France) auprès de leur épouse, respectivement mère. C'était donc en France voisine qu'ils séjournaient au sens de la loi (ATA/325/2024 du 5 mars 2024).</w:t>
      </w:r>
    </w:p>
    <w:p>
      <w:r>
        <w:rPr>
          <w:b/>
        </w:rPr>
        <w:t>E. 19</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w:t>
      </w:r>
    </w:p>
    <w:p>
      <w:r>
        <w:t>- 9/13 - A/2941/2023 avril 2010 consid. 3.3.2 et les références citées ; ATA/556/2024 du 2 mai 2024 consid. 4.6 ; ATA/874/2020 du 8 septembre 2020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arrêts du Tribunal fédéral 2C_728/2020 du 25 février 2021 consid. 4.1 ; 1C_205/2012 du 6 novembre 2012 consid. 2.1 ; ATA/111/2024 du 30 janvier 2024 consid. 3.1). Le Tribunal fédéral a même qualifié cette obligation de « devoir de collaboration spécialement élevé » lorsqu'il s'agit d'éléments ayant trait à la situation personnelle de l'intéressé, puisqu'il s'agit de faits qu'il connaît mieux que quiconque (not. arrêts du Tribunal fédéral 1C_58/2012 du 10 juillet 2012 consid. 3.2 et la référence citée ; 2C_703/2008 du 8 janvier 2009 consid. 5.2 ; 2C_80/2007 du 25 juillet 2007 consid. 4 et les références citées).</w:t>
      </w:r>
    </w:p>
    <w:p>
      <w:r>
        <w:rPr>
          <w:b/>
        </w:rPr>
        <w:t>E. 20</w:t>
      </w:r>
    </w:p>
    <w:p>
      <w:r>
        <w:t>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(ATF 142 II 265 consid. 3.2 ; arrêt du Tribunal fédéral 2C_728/2020 du 25 février 2021 consid. 4.1).</w:t>
      </w:r>
    </w:p>
    <w:p>
      <w:r>
        <w:rPr>
          <w:b/>
        </w:rPr>
        <w:t>E. 21</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(ATA/442/2024 du 27 mars 2024 consid. 6.1.12 ; ATA/12/2020 du 7 janvier 2020 consid. 6 et l’arrêt cité).</w:t>
      </w:r>
    </w:p>
    <w:p>
      <w:r>
        <w:rPr>
          <w:b/>
        </w:rPr>
        <w:t>E. 22</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4e éd., 1991, p. 256 n. 1172). La décision constatant la caducité d'une autorisation d'établissement est importante au point</w:t>
      </w:r>
    </w:p>
    <w:p>
      <w:r>
        <w:t>- 10/13 - A/2941/2023 d'exiger un état de fait clairement établi (ATA/13/2017 du 10 janvier 2017 consid. 4).</w:t>
      </w:r>
    </w:p>
    <w:p>
      <w:r>
        <w:rPr>
          <w:b/>
        </w:rPr>
        <w:t>E. 23</w:t>
      </w:r>
    </w:p>
    <w:p>
      <w:r>
        <w:t>Par ailleurs, en procédure administrative cantonale, la constatation des faits est gouvernée par le principe de la libre appréciation des preuves (art. 20 al. 1 2ème phr. LPA ; ATF 139 II 185 consid. 9.2 ; arrêt du Tribunal fédéral 2C_668/2011 du 12 avril 2011 consid. 3.3). Le juge forme ainsi librement sa conviction en analysant la force probante des preuves administrées et ce n’est ni le genre, ni le nombre des preuves qui est déterminant, mais leur force de persuasion (ATA/590/2022 du 3 juin 2022 consid. 4a et les références cités).</w:t>
      </w:r>
    </w:p>
    <w:p>
      <w:r>
        <w:rPr>
          <w:b/>
        </w:rPr>
        <w:t>E. 24</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w:t>
      </w:r>
    </w:p>
    <w:p>
      <w:r>
        <w:rPr>
          <w:b/>
        </w:rPr>
        <w:t>E. 25</w:t>
      </w:r>
    </w:p>
    <w:p>
      <w:r>
        <w:t>En l’espèce, lors de son audition à la police le 23 octobre 2019, l’intéressé a déclaré vivre en France avec ses parents et sa sœur, à B______ (France), ceci depuis cinq ou six ans, soit à tout le moins depuis 2014. À cet égard, il sied de relever que si le recourant était encore mineur à l’époque, il était néanmoins âgé de plus de 15 ans et de toute évidence capable de discernement, de sorte que ses déclarations peuvent être appréciées avec autant de crédibilité que celles d’un adulte. Il faut encore souligner que, lors de son audition à la police, son père était présent et que l'on voit mal, si son fils avait fait pour une raison ou une autre des déclarations très éloignées de la vérité, que le procès-verbal n'en ait porté aucune trace, ou que le père ne soit pas intervenu postérieurement d'une quelconque manière auprès de l'autorité intimée pour donner sa propre version des faits. Dans le cadre de son recours, le recourant soutient désormais avoir résidé à Genève jusqu’à fin juillet 2020 au moins, date à laquelle il aurait suivi ses parents en France, avant de revenir s’installer, quelques mois plus tard, chez sa tante et son oncle à Genève. Il n’apporte toutefois aucune preuve probante de la réalité de son séjour à Genève durant la période litigieuse (2014 à 2020). En particulier, la mention de l’adresse genevoise de la famille sur l’attestation de dépôt de plainte à la police déposée le 6 juillet 2018 par sa mère – pour un vol commis en France le 9 juin 2018 – n’est pas apte à démontrer qu’il séjournait effectivement à cette adresse. De même, l’avis judiciaire du 24 juillet 2020 pour évacuer l’appartement du D______ [GE] ne signifie pas encore que la famille résidait effectivement dans ledit logement, étant relevé que le recourant a déclaré lors de son audition à la police en octobre 2019 que son père sous-louait cet appartement. Par ailleurs, le fait qu’il était scolarisé à Genève – ce qui n’est au demeurant pas démontré – ou que le véhicule de sa mère était toujours immatriculé à Genève en 2018 ne suffit pas non plus à démontrer qu’il séjournait effectivement dans le canton à cette époque, et en particulier dans l’appartement familial situé au D______ [GE].</w:t>
      </w:r>
    </w:p>
    <w:p>
      <w:r>
        <w:t>- 11/13 - A/2941/2023 Le recourant n’a pas non plus documenté son séjour depuis son présumé retour à Genève, dont la date n’a pas été précisée. L’enquête domiciliaire effectuée par l’OCPM le 14 avril 2023 a toutefois permis d’établir qu’à cette date, l’intéressé n’était pas revenu s’installer à Genève chez sa tante et son oncle, contrairement à ce qu’il a indiqué. Le contrat d’apprentissage signé par le recourant le 31 mai 2023, de même que l’attestation de son oncle et de sa tante du 13 septembre 2023, qui indique qu’ils hébergent le recourant et sa sœur pendant la semaine (sans préciser depuis quand) ne contredissent d’ailleurs pas cette conclusion. Ce dernier document est de toute manière sujet à caution dès lors qu’il a pu été émis pour les besoins de la cause par des personnes très proches du recourant. Le recourant échoue ainsi à démontrer qu’il a effectivement résidé et conservé un domicile en Suisse après 2014. Dans ces conditions, il peut être considéré comme établi que, sans le déclarer à l’autorité compétente, le recourant a quitté la Suisse au plus tard en octobre 2014, date à partir de laquelle il n’a pas été en mesure de prouver l’existence d’un domicile effectif à Genève, et ce pendant une période supérieure à six mois. Qu’il ait pu continuer à suivre sa scolarité à Genève ne change rien à ce constat. En effet, conformément à la jurisprudence, de tels séjours en Suisse ne sauraient être considérés autrement que comme des séjours temporaires, dans le cadre desquels une fois l’activité (scolaire, professionnelle ou de loisir) terminée, l’intéressé regagnait le domicile familial en France. En outre, il est constant que le recourant n'a à aucun moment déposé une demande tendant au maintien de son autorisation d'établissement, conformément à ce que prévoit l'art. 61 al. 2 LEI. Partant, l’OCPM ne pouvait que constater que la validité de l’autorisation d’établissement du recourant avait pris fin de jure six mois après son départ de Suisse, soit au plus tard en avril 2015, et c’est ainsi à juste titre qu’il a constaté la caducité de cette dernière, étant précisé que l'autorité intimée ne disposait d'aucune marge de manœuvre dans ce domaine.</w:t>
      </w:r>
    </w:p>
    <w:p>
      <w:r>
        <w:rPr>
          <w:b/>
        </w:rPr>
        <w:t>E. 26</w:t>
      </w:r>
    </w:p>
    <w:p>
      <w:r>
        <w:t>À titre subsidiaire, le recourant sollicite l’octroi d’une autorisation de séjour sous l’angle de l’ALCP. Il estime que le contraindre à faire une nouvelle demande de permis constituerait un formalisme excessif.</w:t>
      </w:r>
    </w:p>
    <w:p>
      <w:r>
        <w:rPr>
          <w:b/>
        </w:rPr>
        <w:t>E. 27</w:t>
      </w:r>
    </w:p>
    <w:p>
      <w:r>
        <w:t>Le séjour effectif en Suisse préside à l’octroi de toute autorisation de séjour au titre de l’ALCP ou de la LEI et est par conséquent une condition implicite à la délivrance d’une autorisation de séjour. En règle générale, le maintien de l’autorisation de séjour est subordonné à la présence de son titulaire en Suisse durant la majeure partie de l’année (cf. Directives LEI, ch. 3.4.3 et la référence citée).</w:t>
      </w:r>
    </w:p>
    <w:p>
      <w:r>
        <w:rPr>
          <w:b/>
        </w:rPr>
        <w:t>E. 28</w:t>
      </w:r>
    </w:p>
    <w:p>
      <w:r>
        <w:t>En l’occurrence, en sa qualité de ressortissant portugais, le recourant peut en principe prétendre à un titre de séjour en Suisse en vertu de l’ALCP. Toutefois, comme vu précédemment, l’intéressé n’a, à ce jour, pas établi résider effectivement dans le canton. Or, compte tenu de la condition nécessaire de la résidence effective</w:t>
      </w:r>
    </w:p>
    <w:p>
      <w:r>
        <w:t>- 12/13 - A/2941/2023 sur le territoire suisse, c’est à juste titre également que l’autorité intimée a refusé de lui délivrer une nouvelle autorisation de séjour sur la base de l’accord précité.</w:t>
      </w:r>
    </w:p>
    <w:p>
      <w:r>
        <w:rPr>
          <w:b/>
        </w:rPr>
        <w:t>E. 29</w:t>
      </w:r>
    </w:p>
    <w:p>
      <w:r>
        <w:t>Compte tenu de ce qui précède, le recours sera rejeté et la décision contestée confirmée.</w:t>
      </w:r>
    </w:p>
    <w:p>
      <w:r>
        <w:rPr>
          <w:b/>
        </w:rPr>
        <w:t>E. 30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SEM.</w:t>
      </w:r>
    </w:p>
    <w:p>
      <w:r>
        <w:t>- 13/13 - A/2941/2023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