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JTAPI/926/2024 vom 18. September 2024</w:t>
      </w:r>
    </w:p>
    <w:p>
      <w:r>
        <w:t>GE Cour de justice, 2024-09-18, FR</w:t>
      </w:r>
    </w:p>
    <w:p>
      <w:r>
        <w:rPr>
          <w:b/>
        </w:rPr>
        <w:t xml:space="preserve">Quelle: </w:t>
      </w:r>
      <w:r>
        <w:t>https://mcp.opencaselaw.ch/entscheid/ge_gerichte_JTAPI_926_2024</w:t>
      </w:r>
    </w:p>
    <w:p>
      <w:r>
        <w:t>FR: GE_GERICHTE JTAPI/926/2024 du 18 septembre 2024</w:t>
      </w:r>
    </w:p>
    <w:p>
      <w:r>
        <w:t>IT: GE_GERICHTE JTAPI/926/2024 del 18 settembre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3.1</w:t>
      </w:r>
    </w:p>
    <w:p>
      <w:r>
        <w:t>;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w:t>
      </w:r>
    </w:p>
    <w:p>
      <w:r>
        <w:rPr>
          <w:b/>
        </w:rPr>
        <w:t>E. 3.2</w:t>
      </w:r>
    </w:p>
    <w:p>
      <w:r>
        <w:t>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w:t>
      </w:r>
    </w:p>
    <w:p>
      <w:r>
        <w:rPr>
          <w:b/>
        </w:rPr>
        <w:t>E. 3.2.1</w:t>
      </w:r>
    </w:p>
    <w:p>
      <w:r>
        <w:t>et arrêt du Tribunal fédéral 2C_1085/2017 du 22 mai 2018 consid. 3.1). À l’instar de violences physiques, seuls des actes de violence psychique d’une intensité particulière peuvent justifier l’application de l’art. 50 al. 1 let. b LEI (ATF</w:t>
      </w:r>
    </w:p>
    <w:p>
      <w:r>
        <w:t>- 10/14 - A/683/2024 138 II 229 consid. 3.2 ; arrêts du Tribunal fédéral 2C_201/2019 du 16 avril 2019 consid. 4.1 ; 2C_12/2018 du 28 novembre 2018 consid. 3.19).</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4.3</w:t>
      </w:r>
    </w:p>
    <w:p>
      <w:r>
        <w:t>; 2C_12/2018 du 28 novembre 2018 consid. 3.2 ; 2C_1085/2017 du 22 mai 2018 consid. 3.2 ; 2C_68/2017 du 29 novembre 2017 consid. 5.4.1). À cet égard, le Tribunal fédéral a admis des contraintes psychiques en présence d'une situation dans laquelle l'époux d'une femme étrangère ne lui donnait que CHF 11.-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lui laissant un matelas à même le sol (cf. arrêt 2C_361/2018 du 21 janvier 2019 consid. 4.4), alors qu'il l'a réfuté s'agissant d'une femme étrangère qui avait dû parfois s'acquitter du loyer du domicile conjugal et dont le mari avait prétendument entretenu une relation extraconjugale - dont aurait été issu un enfant - avec une autre femme, qui avait dû quitter le domicile conjugal à la suite d'une dispute et, ayant été à cette occasion menacée par son mari, avait ensuite été hébergée pendant quelques mois dans des foyers spécialisés (cf. arrêt 2C_145/2019 du 24 juin 2019 consid. 3.6).</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w:t>
      </w:r>
    </w:p>
    <w:p>
      <w:r>
        <w:t>- 6/14 - A/683/2024 2C_728/2020 du 25 février 2021 consid. 4.1 ; 2C_323/2018 du 21 septembre 2018 consid. 8.3.3 ; 2C_767/2015 du 19 février 2016 consid. 5.3.1).</w:t>
      </w:r>
    </w:p>
    <w:p>
      <w:r>
        <w:rPr>
          <w:b/>
        </w:rPr>
        <w:t>E. 7</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8</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9</w:t>
      </w:r>
    </w:p>
    <w:p>
      <w:r>
        <w:t>À titre préalable, le recourant a sollicité son audition.</w:t>
      </w:r>
    </w:p>
    <w:p>
      <w:r>
        <w:rPr>
          <w:b/>
        </w:rPr>
        <w:t>E. 10</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138 III 374 consid. 4.3.2 ; 134 I 140 consid. 5.3).</w:t>
      </w:r>
    </w:p>
    <w:p>
      <w:r>
        <w:rPr>
          <w:b/>
        </w:rPr>
        <w:t>E. 11</w:t>
      </w:r>
    </w:p>
    <w:p>
      <w:r>
        <w:t>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w:t>
      </w:r>
    </w:p>
    <w:p>
      <w:r>
        <w:t>- 7/14 - A/683/2024</w:t>
      </w:r>
    </w:p>
    <w:p>
      <w:r>
        <w:rPr>
          <w:b/>
        </w:rPr>
        <w:t>E. 12</w:t>
      </w:r>
    </w:p>
    <w:p>
      <w:r>
        <w:t>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du recourant. Ce dernier a d’ailleurs eu la possibilité de faire valoir ses arguments dans le cadre de la procédure de recours, de répondre aux arguments de l’autorité intimée et de produire tout moyen de preuve utile en annexe de ses écritures, sans expliquer en quoi son audition s'avérerait plus utile. Partant, il n’y a pas lieu de procéder à son audition, cette mesure d’instruction n’étant au demeurant pas obligatoire.</w:t>
      </w:r>
    </w:p>
    <w:p>
      <w:r>
        <w:rPr>
          <w:b/>
        </w:rPr>
        <w:t>E. 13</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14</w:t>
      </w:r>
    </w:p>
    <w:p>
      <w:r>
        <w:t>Selon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15</w:t>
      </w:r>
    </w:p>
    <w:p>
      <w:r>
        <w:t>Cette disposition requiert non seulement le mariage des époux mais également leur ménage commun (ATF 136 II 113 consid. 3.2). Selon la jurisprudence, il y a présomption que la communauté conjugale est rompue après plus d’un an de séparation (arrêt du Tribunal fédéral 2C_88/2017 du 30 janvier 2017 consid. 6.1).</w:t>
      </w:r>
    </w:p>
    <w:p>
      <w:r>
        <w:rPr>
          <w:b/>
        </w:rPr>
        <w:t>E. 16</w:t>
      </w:r>
    </w:p>
    <w:p>
      <w:r>
        <w:t>En l’espèce, il résulte du dossier que le recourant vit séparé de Mme B______ depuis le 30 décembre 2021 ou à tout le moins depuis le 11 janvier 2022, date à laquelle par ordonnance sur mesures superprovisionnelles du même jour, le TPI a autorisé les conjoints à vivre séparés et ordonné l'expulsion du recourant du domicile conjugal pendant une durée de deux mois. Depuis, les conjoints n'ont jamais repris la vie commune, de sorte que la communauté conjugale est à l’évidence rompue. Partant, le recourant ne peut plus déduire de droit de séjour fondé sur son mariage avec Mme B______.</w:t>
      </w:r>
    </w:p>
    <w:p>
      <w:r>
        <w:rPr>
          <w:b/>
        </w:rPr>
        <w:t>E. 17</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w:t>
      </w:r>
    </w:p>
    <w:p>
      <w:r>
        <w:t>Ces deux conditions sont cumulatives (ATF 140 II 289 consid. 3.8 ; 136 II 113 consid. 3.3.3).</w:t>
      </w:r>
    </w:p>
    <w:p>
      <w:r>
        <w:rPr>
          <w:b/>
        </w:rPr>
        <w:t>E. 18</w:t>
      </w:r>
    </w:p>
    <w:p>
      <w:r>
        <w:t>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w:t>
      </w:r>
    </w:p>
    <w:p>
      <w:r>
        <w:t>- 8/14 - A/683/2024 consid. 3.2 ; ATA/978/2019 du 4 juin 2019 consid. 5c) ; peu importe combien de temps le mariage perdure encore formellement par la suite (ATF 136 II 113 consid.</w:t>
      </w:r>
    </w:p>
    <w:p>
      <w:r>
        <w:rPr>
          <w:b/>
        </w:rPr>
        <w:t>E. 19</w:t>
      </w:r>
    </w:p>
    <w:p>
      <w:r>
        <w:t>En l’espèce, les époux se sont mariés à Genève le ______ 2020, date qu’il y a lieu de retenir, conformément à la jurisprudence, s’agissant du début de l’union conjugale en Suisse. Il ressort du dossier que les époux vivent séparés, à tout le moins depuis le 11 janvier 2022. L’union conjugale a ainsi manifestement duré moins de trois ans, ce qui n’est pas contesté. Partant, dans la mesure où les deux conditions posées par l'art. 50 al. 1 let. a LEI sont cumulatives et que la première d'entre elles n'est pas remplie, il n'y a pas lieu d'examiner si l’intégration du recourant est réussie au sens de cette disposition (ATF 140 II 289 consid. 3.5.3 ; 136 II consid. 3.3.3 ; arrêt du Tribunal fédéral 2C_621/2015 du 11 décembre 2015 consid. 5.1 ; ATA/978/2019 du 4 juin 2019 consid. 5c ; ATA/203/2018 du 6 mars 2018 consid. 4a).</w:t>
      </w:r>
    </w:p>
    <w:p>
      <w:r>
        <w:rPr>
          <w:b/>
        </w:rPr>
        <w:t>E. 20</w:t>
      </w:r>
    </w:p>
    <w:p>
      <w:r>
        <w:t>Le recourant ne pouvant déduire aucun droit de l'art. 50 al. 1 let. a LEI, il convient d’examiner si la poursuite de son séjour en Suisse s'imposerait pour des raisons personnelles majeures.</w:t>
      </w:r>
    </w:p>
    <w:p>
      <w:r>
        <w:rPr>
          <w:b/>
        </w:rPr>
        <w:t>E. 21</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22</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t>- 9/14 - A/683/2024</w:t>
      </w:r>
    </w:p>
    <w:p>
      <w:r>
        <w:rPr>
          <w:b/>
        </w:rPr>
        <w:t>E. 23</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24</w:t>
      </w:r>
    </w:p>
    <w:p>
      <w:r>
        <w:t>Si la violence conjugale au sens de l’art. 50 al. 1 let. b et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Les autorités compétentes tiennent aussi compte des indications et des renseignements fournis par des services spécialisés (art. 77 al. 6bis OASA).</w:t>
      </w:r>
    </w:p>
    <w:p>
      <w:r>
        <w:rPr>
          <w:b/>
        </w:rPr>
        <w:t>E. 25</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rPr>
          <w:b/>
        </w:rPr>
        <w:t>E. 26</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27</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w:t>
      </w:r>
    </w:p>
    <w:p>
      <w:r>
        <w:rPr>
          <w:b/>
        </w:rPr>
        <w:t>E. 28</w:t>
      </w:r>
    </w:p>
    <w:p>
      <w:r>
        <w:t>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du Tribunal fédéral 2C_145/2019 du 24 juin 2019 consid. 3.4 ; 2C_361/2018 du 21 janvier 2019 consid.</w:t>
      </w:r>
    </w:p>
    <w:p>
      <w:r>
        <w:rPr>
          <w:b/>
        </w:rPr>
        <w:t>E. 29</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30</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w:t>
      </w:r>
    </w:p>
    <w:p>
      <w:r>
        <w:t>- 11/14 - A/683/2024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 la réalisation des faits allégués que la thèse contraire (ATA/1333/2021 du 7 décembre 2021 consid. 7f).</w:t>
      </w:r>
    </w:p>
    <w:p>
      <w:r>
        <w:rPr>
          <w:b/>
        </w:rPr>
        <w:t>E. 31</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w:t>
      </w:r>
    </w:p>
    <w:p>
      <w:r>
        <w:rPr>
          <w:b/>
        </w:rPr>
        <w:t>E. 32</w:t>
      </w:r>
    </w:p>
    <w:p>
      <w:r>
        <w:t>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33</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34</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ATA/1333/2021 du 7 décembre 2021 consid. 7g).</w:t>
      </w:r>
    </w:p>
    <w:p>
      <w:r>
        <w:rPr>
          <w:b/>
        </w:rPr>
        <w:t>E. 35</w:t>
      </w:r>
    </w:p>
    <w:p>
      <w:r>
        <w:t>En l'espèce, le recourant fait valoir qu'il a été victime de violences physiques et psychologiques de la part de son ex-épouse durant leur union conjugale. Il produit à l'appui de ses allégués un certificat médical établi par le Centre médical de C______ le 30 décembre 2021 concernant des violences qu'il aurait subies de la part de son épouse la nuit du 26 au 27 du même mois. Il ressort par ailleurs du dossier que Mme B______ a elle aussi produit une attestation du même centre médical relative à des violences qu'elle aurait subie de la part de son conjoint en</w:t>
      </w:r>
    </w:p>
    <w:p>
      <w:r>
        <w:t>- 12/14 - A/683/2024 date du 27 décembre 2021 à l'appui de la plainte pénale qu'elle a déposée le 30 décembre 2021 contre le recourant. S'il apparait que les époux ont certes vécu un épisode de violence conjugal, force est de constater que le Ministère public a prononcé une ordonnance de non entrée en matière, laquelle n'a pas été contestée. Outre cet épisode, qui certes semble avoir précipité la séparation définitive des époux, le recourant n'a fourni aucun élément propre à établir qu'il aurait été victime de violences physiques et/ou psychologique de la part de son épouse de manière répétée et systématique, au sens de la jurisprudence, au point d'avoir dû mettre un terme à leur union conjugale. L'attestation du Foyer « D______ » établissant qu'il y a séjourné entre le 23 janvier et le 25 février 2022 ne saurait avoir la portée que tente de lui prêter le recourant, puisque comme l'a justement relevé, l'OCPM, il résulte de l'ordonnance sur mesures superprovisionnelles prononcée par le TPI, que le recourant expulsé temporairement du domicile conjugal, a dû trouver un logement d'urgence. Quoi qu'il en soit, sur le plan strict des preuves ou indices de l'existence de la violence, les éléments du dossier ne font pas apparaître que les atteintes alléguées revêtiraient le degré de gravité exigé par la loi et la jurisprudence pour que la poursuite de son séjour en Suisse s’impose Au surplus, le recourant n'établit pas que sa réintégration dans son pays d'origine – qu’il a quitté il y a à peine cinq ans – serait fortement compromise. Arrivé en Suisse à l’âge de 31 ans, il a vécu toute son enfance, son adolescence et une partie de sa vie d’adulte au Cameroun. Il en connaît ainsi les us et les coutumes et y a certainement conservé des attaches, tant socioculturelles que familiales, susceptibles de faciliter sa réintégration. Agé de 36 ans, il est encore jeune, et au bénéfice d’une formation et d'une expérience professionnelles acquises en Suisse. Ces éléments faciliteront sa réintégration au Cameroun. Le fait qu’il ne retrouvera sans doute pas le même niveau de vie au Cameroun que celui dont il bénéficie actuellement en Suisse n’est pas pertinent au regard des critères rappelés ci-dessus. Au demeurant, le recourant n’a pas démontré qu’il se serait créé des attaches profondes avec la Suisse l’empêchant de retourner dans son pays d’origine, étant encore relevé que le fait qu’il ne fait l'objet d'aucune poursuite et n'a jamais fait appel à l'aide sociale sont des éléments certes positifs de son dossier, mais qui ne sont pas des indicateurs du fait qu'un retour dans son pays d'origine le placerait dans une situation particulièrement difficile. Enfin, l'allégation du recourant selon laquelle il aurait deux enfants en Suisse, laquelle n'est nullement étayée, ne permet pas d'autre conclusion. Il apparaît ainsi que le séjour en Suisse du recourant ne s’impose pas pour des raisons personnelles majeures au sens des art. 50 al. 1 let. b et al. 2 LEI. Il n'y a enfin pas lieu d'examiner sa situation sous l'angle de l'art. 30 al. 1 let. b LEI, puisque les raisons personnelles majeures ont été écartées sur la base de l'art. 50 al. 1 let. b LEI, de sorte qu'elles le seraient pareillement sous l'angle de l'art. 30 al. 1</w:t>
      </w:r>
    </w:p>
    <w:p>
      <w:r>
        <w:t>- 13/14 - A/683/2024 let. b LEI (ATF 137 II 345 consid. 3.2.1; arrêt du Tribunal fédéral 2C_1062/2013 du 28 mars 2014 consid. 3.2.1 ; ATAF 2017 VII/7 consid. 5.5.1). Au vu de ce qui précède, c’est à bon droit que l’OCPM a refusé de renouveler l’autorisation de séjour du recourant.</w:t>
      </w:r>
    </w:p>
    <w:p>
      <w:r>
        <w:rPr>
          <w:b/>
        </w:rPr>
        <w:t>E. 36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37</w:t>
      </w:r>
    </w:p>
    <w:p>
      <w:r>
        <w:t>Le recourant n'obtenant pas le droit de séjourner en Suisse, c'est également à bon droit que l'autorité intimée a prononcé son renvoi. Il n’apparaît en outre pas que l’exécution de cette mesure ne serait pas possible, serait illicite ou qu’elle ne pourrait être raisonnablement exigée (art. 83 LEI), ce qui n’est pas contesté par le recourant.</w:t>
      </w:r>
    </w:p>
    <w:p>
      <w:r>
        <w:rPr>
          <w:b/>
        </w:rPr>
        <w:t>E. 38</w:t>
      </w:r>
    </w:p>
    <w:p>
      <w:r>
        <w:t>Mal fondé, le recours sera rejeté.</w:t>
      </w:r>
    </w:p>
    <w:p>
      <w:r>
        <w:rPr>
          <w:b/>
        </w:rPr>
        <w:t>E. 39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40</w:t>
      </w:r>
    </w:p>
    <w:p>
      <w:r>
        <w:t>En vertu des art. 89 al. 2 et 111 al. 2 de la loi sur le Tribunal fédéral du 17 juin 2005 (LTF - RS 173.110), le présent jugement sera communiqué au secrétariat d'État aux migrations.</w:t>
      </w:r>
    </w:p>
    <w:p>
      <w:r>
        <w:t>- 14/14 - A/683/2024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