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JTAPI/925/2024 vom 18. September 2024</w:t>
      </w:r>
    </w:p>
    <w:p>
      <w:r>
        <w:t>GE Cour de justice, 2024-09-18, FR</w:t>
      </w:r>
    </w:p>
    <w:p>
      <w:r>
        <w:rPr>
          <w:b/>
        </w:rPr>
        <w:t xml:space="preserve">Quelle: </w:t>
      </w:r>
      <w:r>
        <w:t>https://mcp.opencaselaw.ch/entscheid/ge_gerichte_JTAPI_925_2024</w:t>
      </w:r>
    </w:p>
    <w:p>
      <w:r>
        <w:t>FR: GE_GERICHTE JTAPI/925/2024 du 18 septembre 2024</w:t>
      </w:r>
    </w:p>
    <w:p>
      <w:r>
        <w:t>IT: GE_GERICHTE JTAPI/925/2024 del 18 settembre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w:t>
      </w:r>
    </w:p>
    <w:p>
      <w:r>
        <w:t>- 6/12 - A/2832/2024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2.1</w:t>
      </w:r>
    </w:p>
    <w:p>
      <w:r>
        <w:t>; 2C_1142/2014 du 29 juin 2015 consid. 3.1 ; 2C_197/2013 du 31 juillet 2013 consid. 3 et la référence citée ; ATA/233/2018 du 13 mars 2018 consid. 4b ; ATA/1041/2017 du 30 juin 2017 ; ATA/199/2017 du 16 février 2017 ; ATA/885/2016 du 20 octobre 2016.</w:t>
      </w:r>
    </w:p>
    <w:p>
      <w:r>
        <w:rPr>
          <w:b/>
        </w:rPr>
        <w:t>E. 3</w:t>
      </w:r>
    </w:p>
    <w:p>
      <w:r>
        <w:t>Statuant ce jour, le tribunal respecte en outre le délai de vingt jours que lui impose l'art. 9 al. 1 let. b LaLEtr.</w:t>
      </w:r>
    </w:p>
    <w:p>
      <w:r>
        <w:rPr>
          <w:b/>
        </w:rPr>
        <w:t>E. 3.1</w:t>
      </w:r>
    </w:p>
    <w:p>
      <w:r>
        <w:t>; 2C_570/2016 du 30 juin 2016 consid. 5.1).</w:t>
      </w:r>
    </w:p>
    <w:p>
      <w:r>
        <w:rPr>
          <w:b/>
        </w:rPr>
        <w:t>E. 4</w:t>
      </w:r>
    </w:p>
    <w:p>
      <w:r>
        <w:t>M. A______ conclut à l’annulation de la mesure d’interdiction de pénétrer au motif qu’elle serait disproportionnée.</w:t>
      </w:r>
    </w:p>
    <w:p>
      <w:r>
        <w:rPr>
          <w:b/>
        </w:rPr>
        <w:t>E. 5</w:t>
      </w:r>
    </w:p>
    <w:p>
      <w:r>
        <w:t>Selon l'article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 consid.</w:t>
      </w:r>
    </w:p>
    <w:p>
      <w:r>
        <w:rPr>
          <w:b/>
        </w:rPr>
        <w:t>E. 6</w:t>
      </w:r>
    </w:p>
    <w:p>
      <w:r>
        <w:t>L'art. 6 al. 3 LaLEtr précise que l'étranger peut être contraint à ne pas quitter le territoire qui lui est assigné ou à ne pas pénétrer dans une région déterminée, aux conditions prévues par l'art. 74 LEI, notamment suite à une condamnation pour vol, brigandage, lésions corporelles intentionnelles, dommage à la propriété ou pour une infraction à la LStup.</w:t>
      </w:r>
    </w:p>
    <w:p>
      <w:r>
        <w:rPr>
          <w:b/>
        </w:rPr>
        <w:t>E. 7</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8</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9</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w:t>
      </w:r>
    </w:p>
    <w:p>
      <w:r>
        <w:t>- 7/12 - A/2832/2024</w:t>
      </w:r>
    </w:p>
    <w:p>
      <w:r>
        <w:rPr>
          <w:b/>
        </w:rPr>
        <w:t>E. 10</w:t>
      </w:r>
    </w:p>
    <w:p>
      <w:r>
        <w:t>février 2014). Un tel soupçon - indépendamment du fait que la condamnation pénale y relative soit contestée et, donc, non définitive - peut découler du seul fait de la possession de stupéfiants destinés à la propre consommation de l'intéressé (cf. arrêts du Tribunal fédéral 2C_570/2016 du 30 juin 2016 consid. 5.3 ; 2C_197/2013 du 31 juillet 2013 consid. 3.1 ; 2C_437/2009 du 27 octobre 2009 consid. 2.1).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du 27 octobre 2009 consid. 2.1 ; ATA/199/2017 du 16 février 2017). Le Tribunal fédéral a du reste confirmé une telle mesure visant un ressortissant étranger qui avait essentiellement été condamné pour de simples contraventions à la LStup (cf. arrêt 6B_808/2011 du 24 mai 2012 consid. 1.3 ; voir aussi ATA/629/2016 du 21 juillet 2016 ; ATA/124/2015 du 30 janvier 2015 ; ATA/45/2014 du 27 janvier 2014).</w:t>
      </w:r>
    </w:p>
    <w:p>
      <w:r>
        <w:rPr>
          <w:b/>
        </w:rPr>
        <w:t>E. 11</w:t>
      </w:r>
    </w:p>
    <w:p>
      <w:r>
        <w:t>En l'espèce, s'agissant de la première condition de l'art. 74 al. 1 let. a LEI, M. A______, ressortissant nigérian, ne bénéficie d'aucune autorisation de courte durée (art. 32 LEI), de séjour (art. 33 LEI) ou d'établissement en Suisse (art. 34 LEI), ce qu'il ne conteste au demeurant pas. Il est simplement titulaire d’une carte d'identité italienne lui permettant de résider en Italie. S'agissant de la seconde condition, à teneur de l'extrait de son casier judiciaire, l'intéressé a été condamné à trois reprises, les 8 septembre 2023, 10 mai 2024 et 23 août 2024, notamment pour infractions à la LStup. Même si ces deux dernières condamnations ne sont pas entrées en force puisqu'elles sont frappées d'opposition et pendantes par-devant le Tribunal de police, il ressort des faits retenus par l'autorité de poursuite pénale que, le 22 août 2024, l'intéressé a été observé par les forces de l'ordre alors qu'il vendait de la drogue à un consommateur, à la rue de la Coulouvrenière, à la hauteur du numéro 11, vers 14h30 et qu'il est en outre mis en cause par les déclarations de M. B______, toxicomane, auquel il est soupçonné d'avoir vendu 3.3 gr de haschich contre la somme de CHF 50.-. Si l’intéressé a certes contesté les éléments de fait retenus à l’origine de cette condamnation, il n’en reste pas moins que sa seule présence sur les lieux, cumulée à sa précédente</w:t>
      </w:r>
    </w:p>
    <w:p>
      <w:r>
        <w:t>- 8/12 - A/2832/2024 condamnation à la LStup, soit un antécédent spécifique, suffit à faire peser sur lui d’importants soupçons quant à son implication dans un trafic de stupéfiants. Ainsi, les explications de l’intéressé selon lesquelles, lors de son arrestation du 22 août 2024, il ne se serait livré à aucun trafic de stupéfiants, ne peuvent être prises qu'avec circonspection. Il en va de même s'agissant de ses prétendus revenus qui expliqueraient la somme importante saisie au moment de son interpellation, dès lors qu'il n'a apporté aucun élément à l'appui de ses déclarations, comme par exemple, une fiche de salaire, un contrat de travail ou un relevé bancaire. Partant, au vu de ces éléments, le soupçon existe qu'il puisse à l'avenir commettre des infractions du type de celles pour lesquelles il est actuellement mis en cause. L'intéressé peut ainsi être effectivement perçu comme présentant une menace pour l'ordre et la sécurité publics. Les conditions pour le prononcé d’une mesure d’interdiction de pénétrer dans une région déterminée au sens de l'art. 74 LEI sont donc réunies.</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13</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14</w:t>
      </w:r>
    </w:p>
    <w:p>
      <w:r>
        <w:t>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(cf. ATF 142 II 1 consid. 2.3 ; arrêts du Tribunal</w:t>
      </w:r>
    </w:p>
    <w:p>
      <w:r>
        <w:t>- 9/12 - A/2832/2024 fédéral 2C_884/2020 du 5 août 2021 consid.3.4.2 ; 2C_796/2018 du 4 février 2019 consid. 4.2).</w:t>
      </w:r>
    </w:p>
    <w:p>
      <w:r>
        <w:rPr>
          <w:b/>
        </w:rPr>
        <w:t>E. 15</w:t>
      </w:r>
    </w:p>
    <w:p>
      <w:r>
        <w:t>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rPr>
          <w:b/>
        </w:rPr>
        <w:t>E. 16</w:t>
      </w:r>
    </w:p>
    <w:p>
      <w:r>
        <w:t>A titre d'exemple, dans sa jurisprudence récente, la chambre administrative de la Cour de justice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De même, elle a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gr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d'autre part,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w:t>
      </w:r>
    </w:p>
    <w:p>
      <w:r>
        <w:t>- 10/12 - A/2832/2024 La chambre administrative de la Cour de justice a en outre confirmé une interdiction territoriale étendue à tout le canton de Genève pour une durée de dix-huit mois notifiée à un étranger sans titre, travail, lieu de séjour précis ni attaches à Genève, plusieurs fois condamné pour infractions à la LStup, objet de décisions de renvoi et traité sans succès pour une dépendance aux stupéfiants (ATA/411/2022 du 14 avril 2022 ; cf. aussi ATA/536/2022 du 20 mai 2022).</w:t>
      </w:r>
    </w:p>
    <w:p>
      <w:r>
        <w:rPr>
          <w:b/>
        </w:rPr>
        <w:t>E. 17</w:t>
      </w:r>
    </w:p>
    <w:p>
      <w:r>
        <w:t>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- 12/12 - A/2832/2024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