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JTAPI/918/2024 vom 16. September 2024</w:t>
      </w:r>
    </w:p>
    <w:p>
      <w:r>
        <w:t>GE Cour de justice, 2024-09-16, FR</w:t>
      </w:r>
    </w:p>
    <w:p>
      <w:r>
        <w:rPr>
          <w:b/>
        </w:rPr>
        <w:t xml:space="preserve">Quelle: </w:t>
      </w:r>
      <w:r>
        <w:t>https://mcp.opencaselaw.ch/entscheid/ge_gerichte_JTAPI_918_2024</w:t>
      </w:r>
    </w:p>
    <w:p>
      <w:r>
        <w:t>FR: GE_GERICHTE JTAPI/918/2024 du 16 septembre 2024</w:t>
      </w:r>
    </w:p>
    <w:p>
      <w:r>
        <w:t>IT: GE_GERICHTE JTAPI/918/2024 del 16 settembre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c. l'exécution du renvoi ou de l'expulsion a été reportée (art. 69 al. 3 LEI).</w:t>
      </w:r>
    </w:p>
    <w:p>
      <w:r>
        <w:rPr>
          <w:b/>
        </w:rPr>
        <w:t>E. 5</w:t>
      </w:r>
    </w:p>
    <w:p>
      <w:r>
        <w:t>Conformément à l'art. 74 al. 2 LEI, la compétence d'ordonner ces mesures incombe au canton qui exécute le renvoi ou l'expulsion ; s'agissant de personnes séjournant dans un centre d'enregistrement ou dans un centre spécifique au sens de l'art. 26</w:t>
      </w:r>
    </w:p>
    <w:p>
      <w:r>
        <w:t>- 5/9 - A/2837/2024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rPr>
          <w:b/>
        </w:rPr>
        <w:t>E. 10</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11</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w:t>
      </w:r>
    </w:p>
    <w:p>
      <w:r>
        <w:t>- 6/9 - A/2837/2024 public (ATF 125 I 474 consid. 3 et les arrêts cités ; arrêt du Tribunal fédéral 1P.269/2001 du 7 juin 2001 consid. 2c ; ATA/3019/2012 du 1er novembre 2012 consid. 7).</w:t>
      </w:r>
    </w:p>
    <w:p>
      <w:r>
        <w:rPr>
          <w:b/>
        </w:rPr>
        <w:t>E. 12</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13</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14</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15</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 A titre d'exemple, dans sa jurisprudence récente, la chambre administrative de la Cour de justice (ci-après : la chambre administrative) a confirmé l’interdiction du territoire de tout le canton pour une durée de douze mois prononcée contre une ressortissante française condamnée à plusieurs reprises pour infractions à la LStup qui admettait consommer des stupéfiants et s’adonner au trafic (ATA/255/2022 du</w:t>
      </w:r>
    </w:p>
    <w:p>
      <w:r>
        <w:t>- 7/9 - A/2837/2024 10 mars 2022). Elle a confirmé la même mesure pour un ressortissant français trouvé en possession de vingt-et-une boulettes de cocaïne dans la voiture qu’il conduisait (ATA/1294/2021 du 25 novembre 2021). Elle a également confirmé un jugement du tribunal réduisant de vingt-quatre à douze mois la durée d'interdiction de pénétrer sur l'ensemble du territoire cantonale prononcée à l'encontre d'une personne condamnée à sept reprises en Suisse entre avril 2020 et octobre 2022, notamment pour vol et recel, puis condamné une huitième fois en décembre 2022 notamment pour consommation de stupéfiant, et enfin une neuvième fois en janvier 2023 notamment pour vol, violence ou menace contre les autorités et les fonctionnaires, ainsi que lésions corporelles simples (ATA/105/2023 du 31 janvier 2023). Elle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w:t>
      </w:r>
    </w:p>
    <w:p>
      <w:r>
        <w:rPr>
          <w:b/>
        </w:rPr>
        <w:t>E. 16</w:t>
      </w:r>
    </w:p>
    <w:p>
      <w:r>
        <w:t>En l'espèce, M. A______ n'est pas au bénéfice d'une autorisation de courte durée (art. 32 LEI), de séjour (art. 33 LEI) ou d'établissement (art. 34 LEI), ce qui n'est d'ailleurs pas contesté. Par ailleurs, aucun élément du dossier ne permet de retenir qu’il soit actuellement au bénéfice d’un permis G. Il a été condamné pour le vol d’une trottinette par ordonnance pénale du Ministère public du 23 août 2024, à laquelle il n’a pas fait opposition, ayant reconnu l’infraction. Précédemment, il a été condamné à plusieurs reprises, notamment pour dommages à la propriété, abus de confiance et vol. Il a encore été condamné suite à son interpellation du 26 août 2024 non seulement pour violation de l’interdiction de pénétrer dans le canton de Genève qui lui avait été notifiée quelques jours avant, mais également pour consommation de stupéfiants, soit du crack ; même s’il explique qu’il pensait bénéficier de dix jours pour quitter le canton et non 24 heures, il n’en demeure pas moins qu’il n’a pas respecté cette décision alors qu’elle contenait toutes les explications nécessaires et, en plus, a acheté du crack, soit une drogue dure, pour sa propre consommation. Partant, l’intéressé peut effectivement être perçu comme une menace pour l'ordre et la sécurité publics et il apparaît clairement qu’il va continuer à fréquenter le milieu de la drogue, en tout cas pour s’approvisionner en crack, drogue qu’il indique consommer depuis deux mois environ. Concernant son besoin de se rendre sur Genève, force est de constater, d’une part, qu’il n’a actuellement aucun emploi en vue, n’ayant, depuis à tout le moins mi-juillet, pas indiqué à la société de placement pour laquelle il avait travaillé être</w:t>
      </w:r>
    </w:p>
    <w:p>
      <w:r>
        <w:t>- 8/9 - A/2837/2024 disponible pour des missions et que, d’autre part, il peut tout à fait chercher un emploi dans la restauration en France, ayant notamment travaillé pour une brasserie sur E______(France) pendant plus de deux ans avant de tomber au chômage en décembre 2023. Il n’y a donc aucun impératif à devoir expressément travailler à Genève. En ce qui concerne les contacts sociaux, il ressort des déclarations de M. A______ qu’il habite avec ses parents et son frère à B______(France) et qu’il est très entouré, ces derniers connaissant sa situation et l’aidant pour acquérir les médicaments dont il a besoin. La présence d’une tante et de cousins à Genève, ainsi que d’amis ne suffit pas pour retenir que l’interdiction atteindrait l’intéressé dans ses contacts sociaux dans une mesure disproportionnée. Par ailleurs, il est suivi par une conseillère en placement en France et, pour ses problèmes d’addiction, notamment par une association qui se situe également en France : il bénéficie ainsi, sur sol français, de toute l’infrastructure nécessaire pour lui permettre de trouver du travail – et ainsi honorer ses engagements financiers envers le service des contraventions – et se sortir de sa dépendance au crack. Le périmètre de l’interdiction, étendu à tout le canton de Genève, il ne prête pas flanc à la critique : l’intéressé n’a aucune raison de venir à Genève et, surtout, ne peut prétendre avoir un besoin de se rendre dans un quartier déterminé pour exercer une mission temporaire puisqu’actuellement il n’a pas repris contact avec la société de placement depuis mi-juillet à tout le moins et n’a aucun engagement professionnel en vue. Enfin, en ce qui concerne la durée, le tribunal estime qu’une durée de 24 mois pour une première interdiction territoriale, même si elle a été prononcée alors que l’intéressé avait été condamné à plusieurs reprises et qu’il ne l’a immédiatement pas respectée, est disproportionnée, notamment au regard de la jurisprudence, raison pour laquelle il la réduira à douze mois.</w:t>
      </w:r>
    </w:p>
    <w:p>
      <w:r>
        <w:rPr>
          <w:b/>
        </w:rPr>
        <w:t>E. 17</w:t>
      </w:r>
    </w:p>
    <w:p>
      <w:r>
        <w:t>Partant, le tribunal confirmera l'interdiction de pénétrer dans une région déterminée prise à l'encontre de M. A______ mais pour une durée de douze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19</w:t>
      </w:r>
    </w:p>
    <w:p>
      <w:r>
        <w:t>Un éventuel recours déposé contre le présent jugement n'aura pas d'effet suspensif (art. 10 al. 1 LaLEtr).</w:t>
      </w:r>
    </w:p>
    <w:p>
      <w:r>
        <w:t>- 9/9 - A/2837/2024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