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JTAPI/917/2024 vom 13. September 2024</w:t>
      </w:r>
    </w:p>
    <w:p>
      <w:r>
        <w:t>GE Cour de justice, 2024-09-13, FR</w:t>
      </w:r>
    </w:p>
    <w:p>
      <w:r>
        <w:rPr>
          <w:b/>
        </w:rPr>
        <w:t xml:space="preserve">Quelle: </w:t>
      </w:r>
      <w:r>
        <w:t>https://mcp.opencaselaw.ch/entscheid/ge_gerichte_JTAPI_917_2024</w:t>
      </w:r>
    </w:p>
    <w:p>
      <w:r>
        <w:t>FR: GE_GERICHTE JTAPI/917/2024 du 13 septembre 2024</w:t>
      </w:r>
    </w:p>
    <w:p>
      <w:r>
        <w:t>IT: GE_GERICHTE JTAPI/917/2024 del 13 settembre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w:t>
      </w:r>
    </w:p>
    <w:p>
      <w:r>
        <w:t>- 4/9 - A/2839/2024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w:t>
      </w:r>
    </w:p>
    <w:p>
      <w:r>
        <w:t>- 5/9 - A/2839/2024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9</w:t>
      </w:r>
    </w:p>
    <w:p>
      <w:r>
        <w:t>Une mesure basée sur l’art. 74 al. 1 let. a LEI ne présuppose pas une condamnation pénale de l’intéressé (arrêts du Tribunal fédéral 2C_884/2020 précité consid. 3.3 ; 2C_123/2021 du 5 mars 2021).</w:t>
      </w:r>
    </w:p>
    <w:p>
      <w:r>
        <w:rPr>
          <w:b/>
        </w:rPr>
        <w:t>E. 10</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11</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12</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13</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t>- 6/9 - A/2839/2024</w:t>
      </w:r>
    </w:p>
    <w:p>
      <w:r>
        <w:rPr>
          <w:b/>
        </w:rPr>
        <w:t>E. 14</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15</w:t>
      </w:r>
    </w:p>
    <w:p>
      <w:r>
        <w:t>A titre d'exemple, dans sa jurisprudence récente, la chambre administrative de la Cour de justice (ci-après : chambre administrative) a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De même, elle a confirmé l’interdiction du territoire de tout le canton pour une durée de douze mois prononcée contre un ressortissant français sans casier judiciaire ni en Suisse ni en France interpellé par la police genevoise, dans le quartier des Pâquis, après avoir, selon les agents de police, été observé en train de participer à la vente à un tiers de 2.8 g de marijuana contre la somme de CHF 40.-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qu'elle pouvait se fonder à teneur de la jurisprudence sur la seule possession de stupéfiants destinés à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 canton de Genève, notamment pour y trouver du travail (ATA/34/2024 du 12 janvier 2024).</w:t>
      </w:r>
    </w:p>
    <w:p>
      <w:r>
        <w:t>- 7/9 - A/2839/2024 Elle a également plusieurs fois confirmé une interdiction territoriale de douze mois dans le canton de Genève y compris à l’encontre d’une personne sans antécédents, interpellée et condamnée par le Ministère public pour avoir vendu une boulette de cocaïne, l’intéressé n’ayant aucune ressource financière ni aucun intérêt à venir dans le canton (ATA/1316/2022 du 29 décembre 2022 ; ATA/655/2021 du 23 juin 2021 ; ATA/802/2019 du 17 avril 2019). Dans un ATA/806/2019 du 18 avril 2019, elle a en particulier confirmé une interdiction de pénétrer dans le canton de Genève pour une durée de douze mois dans le cas d’une personne possédant un titre de séjour en Italie, qui n’avait ni attaches ni aucun titre de séjour en Suisse. Il avait certes, indiqué, avoir des amis à G______, mais avait refusé de donner leur nom et leur adresse. Son allégation relative à l'existence desdites amitiés paraissait ainsi peu crédible. Il semblait d'ailleurs davantage avoir utilisé sa présence à Genève pour trouver des moyens de subvenir illégalement à ses besoins en s'adonnant au trafic de drogues. Le recourant n'avait jamais vécu ni à Genève ni en Suisse et n'y avait aucune attache familiale. Il était sans domicile et sans ressources. Aucun élément ne nécessitait ainsi sa présence à Genève. Dans ces circonstances, son intérêt privé à pouvoir venir à Genève dans les douze mois suivants cédait le pas à l'intérêt public à le tenir éloigné du canton pendant cette durée. Par conséquent, le fait d'avoir étendu la mesure d'interdiction à l'ensemble du territoire du canton de Genève n'était pas disproportionné, ni d'avoir fixé à douze mois la durée de cette mesure, étant rappelé sur ce dernier point la jurisprudence stricte du Tribunal fédéral.</w:t>
      </w:r>
    </w:p>
    <w:p>
      <w:r>
        <w:rPr>
          <w:b/>
        </w:rPr>
        <w:t>E. 16</w:t>
      </w:r>
    </w:p>
    <w:p>
      <w:r>
        <w:t>En l'espèce, M. A______ n'est pas au bénéfice d'une autorisation de courte durée (art. 32 LEI), de séjour (art. 33 LEI) ou d'établissement (art. 34 LEI), ce qui n'est pas contesté. Pour le surplus, le 23 août 2024, soit quelques jours à peine après son arrivée alléguée à Genève, il a été condamné par le Ministère public pour, notamment, trafic de stupéfiants. Même si cette condamnation n’est pas définitive puisqu'elle est frappée d’opposition, il ressort du rapport d’arrestation et des faits retenus dans l’ordonnance pénale, que l’intéressé a été observé par des policiers assermentés alors qu’il procédait à un échange drogue/argent avec un toxicomane et qu’il a de plus été formellement mis en cause par l’un de ses comparses. Dans ces conditions, il n'est pas déraisonnable de penser que sa présence à Genève résulte d'une volonté de commettre ou de permettre la commission d’activités délictuelles et criminelles, telles que le trafic de stupéfiants, et qu'il pourrait encore être amené à en commettre. En effet, s’il explique être venu à Genève pour y trouver un emploi, il ne démontre pas les recherches qu’il aurait effectuées dans ce sens et rien ne permet de retenir qu’il serait sur le point d’en décrocher un, pour lequel il lui faudrait en tout état encore obtenir une autorisation. Dès lors, le commissaire de police pouvait effectivement considérer qu'il constituait une menace pour l'ordre et la sécurité publics - au sens où le Tribunal fédéral et la chambre administrative l'entendent - suffisante pour justifier l'application des art. 74 al. 1 let. a LEI et 6 al. 3 LaLEtr, dont les conditions sont donc réunies.</w:t>
      </w:r>
    </w:p>
    <w:p>
      <w:r>
        <w:t>- 8/9 - A/2839/2024 L'étendue géographique arrêtée par le commissaire de police prend pour le surplus en considération le fait que l'intéressé est susceptible de reproduire ses agissements coupables dans tout le canton où il n'a aucune raison de se trouver. S’il explique loger chez un ami, il a été incapable d’indiquer son adresse. Il dispose en revanche d’une adresse en Italie, où il vivait jusqu’alors et où il a travaillé comme serveur, et indique loger actuellement à E______. Il n'a ainsi aucune attache sérieuse en Suisse, en particulier à Genève. S'y ajoute qu'il est sans ressources, la somme de CHF 500.- qu’il indique avoir laissée chez un ami étant assurément insuffisante pour séjourner durablement à Genève. Le périmètre sera par conséquent confirmé. Enfin, la durée de la mesure, de douze mois, est conforme à la jurisprudence et adaptée aux circonstances du cas d'espèce.</w:t>
      </w:r>
    </w:p>
    <w:p>
      <w:r>
        <w:rPr>
          <w:b/>
        </w:rPr>
        <w:t>E. 17</w:t>
      </w:r>
    </w:p>
    <w:p>
      <w:r>
        <w:t>Partant, le tribunal confirmera l'interdiction de pénétrer dans une région déterminée prise à l'encontre de M. A______ pour une durée de douze mois.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19</w:t>
      </w:r>
    </w:p>
    <w:p>
      <w:r>
        <w:t>Un éventuel recours déposé contre le présent jugement n'aura pas d'effet suspensif (art. 10 al. 1 LaLEtr).</w:t>
      </w:r>
    </w:p>
    <w:p>
      <w:r>
        <w:t>- 9/9 - A/2839/2024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