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JTAPI/910/2024 vom 12. September 2024</w:t>
      </w:r>
    </w:p>
    <w:p>
      <w:r>
        <w:t>GE Cour de justice, 2024-09-12, FR</w:t>
      </w:r>
    </w:p>
    <w:p>
      <w:r>
        <w:rPr>
          <w:b/>
        </w:rPr>
        <w:t xml:space="preserve">Quelle: </w:t>
      </w:r>
      <w:r>
        <w:t>https://mcp.opencaselaw.ch/entscheid/ge_gerichte_JTAPI_910_2024</w:t>
      </w:r>
    </w:p>
    <w:p>
      <w:r>
        <w:t>FR: GE_GERICHTE JTAPI/910/2024 du 12 septembre 2024</w:t>
      </w:r>
    </w:p>
    <w:p>
      <w:r>
        <w:t>IT: GE_GERICHTE JTAPI/910/2024 del 12 settembre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Pour qu’un recours soit recevable, encore faut-il que son auteur ait la qualité pour recourir.</w:t>
      </w:r>
    </w:p>
    <w:p>
      <w:r>
        <w:t>- 8/19 - A/585/2024</w:t>
      </w:r>
    </w:p>
    <w:p>
      <w:r>
        <w:rPr>
          <w:b/>
        </w:rPr>
        <w:t>E. 4</w:t>
      </w:r>
    </w:p>
    <w:p>
      <w:r>
        <w:t>En matière d'installation de téléphonie mobile, ont qualité pour recourir toutes les personnes qui habitent dans un rayon en dehors duquel est produit un rayonnement assurément inférieur à 10 % de la valeur limite. Elles ne sont pas uniquement habilitées à se plaindre d'un dépassement des émissions ou des valeurs limites de l'installation sur leur propriété mais peuvent en général également remettre en question la légalité du projet de construction (ATF 133 II 409 consid. 1.3 ; Arrêt du Tribunal fédéral 1C.112/2007 du 29 août 2007 consid. 2 ; ATA/694/2012 du 16 octobre 2012 ; ATA/235/2008 du 20 mai 2008 ; Monika KOLZ, La loi fédérale sur la protection de l'environnement, jurisprudence de 2000 à 2005, DEP 2007, p. 247 ss, 321-322).</w:t>
      </w:r>
    </w:p>
    <w:p>
      <w:r>
        <w:rPr>
          <w:b/>
        </w:rPr>
        <w:t>E. 5</w:t>
      </w:r>
    </w:p>
    <w:p>
      <w:r>
        <w:t>En l'espèce, les recourantes sont domiciliées à l'intérieur du périmètre d'opposition mentionné dans FDSS. Elles disposent dès lors manifestement de la qualité pour recourir. Le recours est ainsi également recevable de ce point de vue.</w:t>
      </w:r>
    </w:p>
    <w:p>
      <w:r>
        <w:rPr>
          <w:b/>
        </w:rPr>
        <w:t>E. 6</w:t>
      </w:r>
    </w:p>
    <w:p>
      <w:r>
        <w:t>À titre préalable, les recourantes sollicitent qu'une expertise judiciaire tendant à vérifier le respect des normes applicables et en particulier l'exactitude des calculs effectués par la constructrice soit ordonnée. C______ devait par ailleurs être interpellé afin qu'elle démontre que la puissance émettrice de l'installation litigieuse ne pourra pas être augmentée à l'avenir et qu'elle respectera ainsi les exigences en matière de contrôle à long terme du respect des valeurs limites. Elles sollicitent enfin l'audition de Mme I______.</w:t>
      </w:r>
    </w:p>
    <w:p>
      <w:r>
        <w:rPr>
          <w:b/>
        </w:rPr>
        <w:t>E. 7</w:t>
      </w:r>
    </w:p>
    <w:p>
      <w:r>
        <w:t>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w:t>
      </w:r>
    </w:p>
    <w:p>
      <w:r>
        <w:t>- 9/19 - A/585/2024 Par ailleurs,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w:t>
      </w:r>
    </w:p>
    <w:p>
      <w:r>
        <w:rPr>
          <w:b/>
        </w:rPr>
        <w:t>E. 12</w:t>
      </w:r>
    </w:p>
    <w:p>
      <w:r>
        <w:t>septembre 2019 consid. 4.1 ; 2C_1004/2018 du 11 juin 2019 consid. 5.2.1 ; 2C_1125/2018 du 7 janvier 2019 consid. 5.1). 8. En l'espèce, le tribunal estime disposer d’un dossier complet lui permettant de trancher le présent litige en toute connaissance de cause. Pour que le tribunal ordonne une expertise judiciaire visant en particulier à vérifier l'exactitude des calculs effectués par l'intimée, il conviendrait que des indices permettent de douter de cette exactitude. À défaut de tels doutes, il n'est en effet pas possible de remettre en question par voie d'expertise judiciaire, l'ensemble des décisions de nature technique soumises au contrôle des tribunaux. Or, les recourantes ne présentent aucun élément permettant de douter de l'exactitude de ces calculs. Il n'y a donc pas lieu de prononcer l'expertise requise. Quant à de la demande d'audition de Mme I______, il sera rappelé que le Tribunal fédéral a considéré que l'avis d'un ingénieur civil mandaté par la partie recourante ne constitue qu'un simple allégué de partie (ATF 142 II 355 consid. 6 ; Arrêt du Tribunal fédéral 1C_507/2022 du</w:t>
      </w:r>
    </w:p>
    <w:p>
      <w:r>
        <w:rPr>
          <w:b/>
        </w:rPr>
        <w:t>E. 13</w:t>
      </w:r>
    </w:p>
    <w:p>
      <w:r>
        <w:t>Les recourantes se plaignent ensuite d'une violation de l'obligation de planifier au motif d'une prolifération désordonnée des installations de téléphonie mobile, sans toutefois exposer quelles seraient les bases légales dont elles prétendent tirer une telle obligation, sinon l'art. 2 LAT qui fait simplement obligation à la Confédération, au canton et aux communes d'établir des plans d'aménagement pour les tâches dont l'accomplissement a des effets sur l'organisation du territoire. Cependant, la teneur très générale de cette disposition n'implique en aucun cas une obligation spécifique de planification pour les antennes liées au réseau de télécommunication mobile. Il découle en revanche de la jurisprudence du Tribunal fédéral que les installations de communication mobile n'ont en principe pas besoin de faire l'objet d'une planification spéciale (ATF 142 I 26 consid. 4.2; ATF 138 II 173 consid. 5). Les installations de communications mobiles figurent enfin dans le cadastre répertoriant l'ensemble des installations existantes ou autorisées, librement accessible sur le SITG et qui permet d'obtenir une vue d'ensemble. Dans ces circonstances, il n'apparaît pas qu'il existe dans la présente espèce une obligation de planification. Quant à leur argumentation tirée des art. 16a LAT duquel résulterait une obligation de planification, les recourantes perdent de vue que cette disposition n’est pas applicable, l’autorisation querellée bénéficiant de la dérogation de l’art. 24 LAT qui permet des constructions et installations non conforme à la zone. Il en découle que ce grief est lui aussi infondé et qu'il devra être écarté.</w:t>
      </w:r>
    </w:p>
    <w:p>
      <w:r>
        <w:rPr>
          <w:b/>
        </w:rPr>
        <w:t>E. 14</w:t>
      </w:r>
    </w:p>
    <w:p>
      <w:r>
        <w:t>Les recourantes se prévalent également d’une violation du principe de précaution de l'absence de système AQ et de l'absence de prise en compte d'un LUS au niveau du jardin d’enfants, des écoles enfantine et primaire de H______ de leurs préaux et de l’immeuble sis au ______. Dès lors que ces griefs reviennent à critiquer le système global d'implantation d'une telle installation, il se justifie de les examiner en même temps.</w:t>
      </w:r>
    </w:p>
    <w:p>
      <w:r>
        <w:rPr>
          <w:b/>
        </w:rPr>
        <w:t>E. 15</w:t>
      </w:r>
    </w:p>
    <w:p>
      <w:r>
        <w:t>Le développement du réseau de téléphonie mobile 5G s'inscrit dans un climat de tension entre intérêts publics contradictoires : d'un côté, la mise à disposition de la population d'un réseau mobile performant, et de l'autre, la protection de la santé de la population contre les rayonnements non ionisants (Joel DRITTENBASS, Risk- Based Approach als Konkretisierungsvariante des umweltschutzrechtlichen Vorsorgeprinzips : Angewendet am neuen 5G-Mobilfunkstandard, DEP 2021, p. 134 ss, p. 139 s.).</w:t>
      </w:r>
    </w:p>
    <w:p>
      <w:r>
        <w:rPr>
          <w:b/>
        </w:rPr>
        <w:t>E. 16</w:t>
      </w:r>
    </w:p>
    <w:p>
      <w:r>
        <w:t>En droit fédéral, la protection contre les effets nocifs ou gênants causés notamment par les rayonnements non ionisants issus des antennes de téléphonie mobile est régie par la loi fédérale sur la protection de l’environnement du 7 octobre 1983 (loi sur la protection de l’environnement, LPE - RS 814.01) et les ordonnances qui en</w:t>
      </w:r>
    </w:p>
    <w:p>
      <w:r>
        <w:t>- 12/19 - A/585/2024 découlent (cf. ATF 138 II 173 consid. 5.1 ; arrêt 1C_97/2018 du 3 septembre 2019 consid. 3.1 ; J. DRITTENBASS, op.cit., p. 140).</w:t>
      </w:r>
    </w:p>
    <w:p>
      <w:r>
        <w:rPr>
          <w:b/>
        </w:rPr>
        <w:t>E. 17</w:t>
      </w:r>
    </w:p>
    <w:p>
      <w:r>
        <w:t>Selon l'art. 1 al. 1 LPE, cette loi a pour but de protéger l'homme, les animaux et les plantes, leurs communautés biotiques et leurs habitats contre les atteintes nuisibles ou incommodantes et de préserver à long terme les bases naturelles de la vie. Les impacts qui pourraient devenir nuisibles ou gênants doivent être limités à un stade précoce par mesure de précaution (art. 1 al. 2 LPE). L'émission de rayonnements est limitée par des mesures à la source (art. 11 al. 1 LPE), notamment par l'édiction de valeurs limites d'émission dans les ordonnances (art. 12 al. 1 let. a et al. 2 LPE).</w:t>
      </w:r>
    </w:p>
    <w:p>
      <w:r>
        <w:rPr>
          <w:b/>
        </w:rPr>
        <w:t>E. 18</w:t>
      </w:r>
    </w:p>
    <w:p>
      <w:r>
        <w:t>Pour l'évaluation des effets nocifs ou gênants, le Conseil fédéral fixe par voie d'ordonnance des VLI. Selon l'art. 14 let. a LPE, les VLI doivent être fixées de telle manière que des immissions inférieures à ces valeurs ne mettent pas en danger l'homme, les animaux et les plantes, leurs communautés biotiques et leurs habitats selon l'état de la science ou l'expérience. Bien que la disposition précitée se réfère à la pollution atmosphérique, elle s'applique également en règle générale à d'autres immissions, notamment celles causées par les rayonnements non ionisants (cf. ATF 146 II 17 consid. 6.5 ; 126 II 399 consid. 4b ; 124 II 219 consid. 7a ; arrêts du Tribunal fédéral 1C_579/2017 du 18 juillet 2018 consid. 5.5 ; 1C_450/2010 du 12 avril 2011 consid. 3.3).</w:t>
      </w:r>
    </w:p>
    <w:p>
      <w:r>
        <w:rPr>
          <w:b/>
        </w:rPr>
        <w:t>E. 19</w:t>
      </w:r>
    </w:p>
    <w:p>
      <w:r>
        <w:t>Sur la base de la délégation de compétence de l'art. 13 al. 1 LPE, le Conseil fédéral a édicté l'ORNI pour protéger les personnes contre les rayonnements non ionisants nocifs ou gênants provenant de l'exploitation d'installations fixes (art. 1 ORNI). Cette ordonnance règle les limites d'émission ainsi que les limites d'immission pour les émetteurs de radiocommunication mobile et les raccordements d'abonnés sans fil (cf. art. 2 al. 1 let. a, et annexe 1 ch. 6, ainsi que l'annexe 2 de l'ORNI ; ATF 138 II 173 consid. 5.1 ; arrêt du Tribunal fédéral 1C_97/2018 du 3 septembre 2019 consid. 3.1). Pour se protéger contre les effets thermiques scientifiquement fondés du rayonnement des installations de radiocommunication mobile, l'ORNI prévoit des VLI qui doivent être respectées partout où des personnes peuvent être présentes (art. 13 al. 1 et annexe 2 ORNI ; ATF 126 II 399 consid. 3a ; arrêt du Tribunal fédéral 1C_627/2019 du 6 octobre 2020 consid. 3.1).</w:t>
      </w:r>
    </w:p>
    <w:p>
      <w:r>
        <w:rPr>
          <w:b/>
        </w:rPr>
        <w:t>E. 20</w:t>
      </w:r>
    </w:p>
    <w:p>
      <w:r>
        <w:t>En outre, le Conseil fédéral a fixé des VLInst pour concrétiser le principe de précaution en vertu de l'art. 11 al. 2 LPE (art. 3 al. 6 et art. 4 al. 1, ainsi que l'annexe 1 ch. 64 ORNI). Les VLInst ne sont pas directement liées à des dangers avérés pour la santé, mais ont été fixées en fonction de la faisabilité technique et opérationnelle ainsi que de la viabilité économique afin de minimiser le risque d'effets nocifs, dont certains ne sont que soupçonnés et pas encore prévisibles (ATF 126 II 399 consid. 3b ; arrêt du Tribunal fédéral 1C_627/2019 du 6 octobre 2020 consid. 3.1). Avec les VLInst, le Conseil fédéral a créé une marge de sécurité par rapport aux dangers avérés pour la santé (cf. ATF 128 II 378 consid. 6.2.2 ; arrêts du Tribunal fédéral 1C_627/2019 du 6 octobre 2020 consid. 3.1 ; 1C_576/2016 du 27 octobre 2017 consid. 3.5.1). Dans les LUS, les installations de radiocommunication mobile</w:t>
      </w:r>
    </w:p>
    <w:p>
      <w:r>
        <w:t>- 13/19 - A/585/2024 doivent toujours respecter la VLInst d'une installation donnée (art. 3 al. 3 et al. 6, art. 4 al. 1 et annexe 1 ch. 65 ORNI ; cf. ATF 128 II 378 consid. 6.2.2 ; arrêt du Tribunal fédéral 1C_627/2019 du 6 octobre 2020 consid. 3.1).</w:t>
      </w:r>
    </w:p>
    <w:p>
      <w:r>
        <w:rPr>
          <w:b/>
        </w:rPr>
        <w:t>E. 21</w:t>
      </w:r>
    </w:p>
    <w:p>
      <w:r>
        <w:t>L'annexe 1 ch. 64 ORNI prévoit que la VLInst à respecter est de 4.0 V/m pour les installations qui émettent exclusivement dans la gamme de fréquence autour de 900 MHz ou dans des gammes de fréquence plus basses (let. a); 6.0 V/m pour les installations qui émettent exclusivement dans la gamme de fréquence autour de 1800 MHz ou dans des gammes de fréquence plus élevées (let. b); et de 5.0 V/m pour toutes les autres installations (let. c).</w:t>
      </w:r>
    </w:p>
    <w:p>
      <w:r>
        <w:rPr>
          <w:b/>
        </w:rPr>
        <w:t>E. 22</w:t>
      </w:r>
    </w:p>
    <w:p>
      <w:r>
        <w:t>Ainsi, les VLI et VLInst de l'ORNI sont principalement adaptées à la protection de l'homme (cf. arrêts du Tribunal fédéral 1C_579/2017 du 18 juillet 2018 consid. 5.4 ; 1C_254/2017 du 5 janvier 2018 consid. 9.2 ; 1C_450/2010 du 12 avril 2011 consid. 3.2). La doctrine a au surplus relevé que les valeurs limites prévues dans l'ORNI étaient dix fois plus strictes que celles recommandées par la Commission internationale de protection contre les rayonnements non ionisants (Joel DRITTENBASS, op. cit., p. 138).</w:t>
      </w:r>
    </w:p>
    <w:p>
      <w:r>
        <w:rPr>
          <w:b/>
        </w:rPr>
        <w:t>E. 23</w:t>
      </w:r>
    </w:p>
    <w:p>
      <w:r>
        <w:t>Les valeurs limites spécifiées dans l'ORNI pour la protection contre les rayonnements non ionisants sont fondées sur des résultats scientifiquement étayés concernant les risques pour la santé liés aux antennes de radiotéléphonie mobile. Le Conseil fédéral ou son autorité spécialisée, l'OFEV, suit en permanence l'évolution de la science avec un groupe consultatif d'experts (BERENIS) et doit, si nécessaire, adapter les valeurs limites à l'état de la science ou de l'expérience (cf. art. 14 LUS ; arrêts 1C_518/2018 du 14 avril 2020 consid. 5.1.1 ; 1C_348/2017 du 21 février 2018 consid. 4 ; 1C_118/2010 du 20 octobre 2010 consid. 4.2.3). Cela étant, vu la marge de manœuvre dont dispose le Conseil fédéral s'agissant de l'établissement des valeurs limites, seuls de solides éléments démontrant de nouvelles connaissances fondées scientifiquement justifient de les remettre en cause (arrêts 1C_518/2018 précité consid. 5.1.1 ; 1C_323/2017 du 15 janvier 2018 consid. 2.5). À cet égard, le Tribunal fédéral a encore récemment confirmé qu'en l'état des connaissances actuelles, il n'existait pas d'indices en vertu desquels ces valeurs limites devraient être modifiées (arrêts 1C_518/2018 précité consid. 5.1.1 ; 1C_348/2017 du 21 février 2018 consid. 4.3; 1C_323/2017 du 15 janvier 2018 consid. 2.5). La doctrine relève également que si des incertitudes scientifiques existent, le volume des études scientifiques permettant d'apprécier les effets des antennes de téléphonie mobile sur le corps humain a fortement augmenté et leurs conclusions emportent le constat qu'aucun effet du rayonnement de la téléphonie mobile sur la santé n’a pu être prouvé de manière cohérente en dessous des valeurs limites de l'ORNI (Martin RÖÖSLI, Gesundheitsgefährdungsabschätzung : Auswirkungen von nichtionisierender Strahlung auf den Menschen, DEP 2021, p. 117-133, p. 127 ss). Sans indice concret indiquant que ces valeurs limites devraient être modifiées, le Tribunal fédéral a jugé, à diverses reprises, que les valeurs limites fixées dans l'ORNI étaient conformes à la Constitution et à la loi (cf.</w:t>
      </w:r>
    </w:p>
    <w:p>
      <w:r>
        <w:t>- 14/19 - A/585/2024 arrêts du Tribunal fédéral 1C_375/2020 du 5 mai 2021 consid. 3.2.5 ; 1C_518/2018 du 14 avril 2020 consid. 5.1.1 ; 1C_348/2017 du 21 février 2018 consid. 4.3 ; 1C_323/ 2017 du 15 janvier 2018 consid. 2.5). Le Tribunal fédéral en a tiré qu'il existe une présomption de respect du principe de prévention si les valeurs limites prévues par l'ORNI sont respectées (arrêt du Tribunal fédéral 1C_518/2018 précité consid. 5.3).</w:t>
      </w:r>
    </w:p>
    <w:p>
      <w:r>
        <w:rPr>
          <w:b/>
        </w:rPr>
        <w:t>E. 24</w:t>
      </w:r>
    </w:p>
    <w:p>
      <w:r>
        <w:t>Par ailleurs, la Cour européenne des droits de l’homme a en particulier confirmé, sous l'angle de l'art. 8 CEDH, que tant que la nocivité des antennes pour la population n'était pas prouvée scientifiquement, elle restait dans une large mesure spéculative, de sorte qu'on ne pouvait imposer à la Confédération l'obligation d'adopter des mesures plus amples (ACEDH, Luginbühl c. Suisse du 17 janvier 2006 ; arrêt du Tribunal fédéral 1C_518/2018 précité consid. 5.1.1).</w:t>
      </w:r>
    </w:p>
    <w:p>
      <w:r>
        <w:rPr>
          <w:b/>
        </w:rPr>
        <w:t>E. 25</w:t>
      </w:r>
    </w:p>
    <w:p>
      <w:r>
        <w:t>De surcroît, le 24 mai 2022, l'OFEV a publié un rapport fédéral relatif aux mesures d'exposition aux rayonnements non ionisants occasionnés par les antennes 5G (Mesures d'exposition aux rayonnements non ionisants, Rapport annuel 2021, Consortium de projet SwissNIS, https://www.newsd.admin.ch/newsd/message /attachments/71991.pdf ; ci-après : le rapport annuel 2021 sur la 5G). Le rapport annuel 2021 décrit d'une part le concept de base et le mode de collecte des données, et présente d'autre part les premiers résultats des mesures effectuées. Il ressort de ce rapport que les valeurs mesurées sont inférieures aux valeurs limites déterminantes en ce qui concerne les effets sur la santé (rapport 2021 sur la 5G, p. 58).</w:t>
      </w:r>
    </w:p>
    <w:p>
      <w:r>
        <w:rPr>
          <w:b/>
        </w:rPr>
        <w:t>E. 26</w:t>
      </w:r>
    </w:p>
    <w:p>
      <w:r>
        <w:t>Dans le domaine du rayonnement non ionisant, la limitation dite préventive – qui doit être ordonnée en premier lieu, indépendamment des nuisances existantes – est reprise à l'art. 4 al. 1 ORNI. Cette limitation fait l'objet d'une réglementation détaillée à l'annexe 1 de l'ORNI (par renvoi de l'art. 4 al. 1 ORNI), laquelle fixe notamment, pour les stations émettrices pour téléphonie mobile et raccordements téléphoniques sans fils (ch. 6 annexe 1 ORNI), les VLInst mentionnées plus haut (ch. 64 annexe 1 ORNI).</w:t>
      </w:r>
    </w:p>
    <w:p>
      <w:r>
        <w:rPr>
          <w:b/>
        </w:rPr>
        <w:t>E. 27</w:t>
      </w:r>
    </w:p>
    <w:p>
      <w:r>
        <w:t>Selon la jurisprudence du Tribunal fédéral, l'étendue de la limitation préventive des émissions selon l'art. 4 al. 1 ORNI est déterminée de manière exhaustive avec l'édiction des VLInst, raison pour laquelle les autorités appliquant la loi ne peuvent pas exiger une limitation supplémentaire dans des cas individuels sur la base de l'art. 12 al. 2 LPE (ATF 133 II 64 consid. 5.2; Arrêts du Tribunal fédéral 1A_251/2002 du 24 octobre 2003, consid. 4 ; 1A.10/2001 du 8 avril 2002, consid. 2.2 ; Joel DRITTENBASS, op. cit., p. 141-142).</w:t>
      </w:r>
    </w:p>
    <w:p>
      <w:r>
        <w:rPr>
          <w:b/>
        </w:rPr>
        <w:t>E. 28</w:t>
      </w:r>
    </w:p>
    <w:p>
      <w:r>
        <w:t>Selon l'art. 12 al. 2 ORNI, pour vérifier si la VLInst, au sens de l’annexe 1, n’est pas dépassée, l'autorité procède ou fait procéder à des mesures ou à des calculs, ou se base sur des données provenant de tiers. L'OFEV recommande des méthodes de mesure et de calcul appropriées.</w:t>
      </w:r>
    </w:p>
    <w:p>
      <w:r>
        <w:t>- 15/19 - A/585/2024 Sur cette base, l'OFEV a publié le 23 février 2021 un document intitulé « Explications concernant les antennes adaptatives et leur évaluation selon l’ordonnance sur la protection contre le rayonnement non ionisant (ORNI) » (ci- après : explications OFEV - https://www.newsd.admin.ch/newsd/message/ attachments/65389.pdf ; consulté le 10 novembre 2021). Il y est expressément indiqué que l'ORNI s’applique aussi bien à la technologie de téléphonie mobile de type 2G (GSM), 3G (UMTS), 4G (LTE) ou 5G (New Radio) (Explications OFEV, p. 3). Aussi, en date du 23 février 2021, l'OFEV a publié un complément à la recommandation d'exécution de l'ordonnance sur la protection contre le rayonnement non ionisant concernant les stations de base pour téléphonie mobile et raccordements sans fil (WLL) de l'OFEFP (actuellement : OFEV) de 2002 (ci- après : le complément, https://www.newsd.admin.ch/newsd/message/attachments/ 65394.pdf ; consulté le 30 juillet 2024).</w:t>
      </w:r>
    </w:p>
    <w:p>
      <w:r>
        <w:rPr>
          <w:b/>
        </w:rPr>
        <w:t>E. 29</w:t>
      </w:r>
    </w:p>
    <w:p>
      <w:r>
        <w:t>Avant la publication du complément, des antennes adaptatives avaient été autorisées sur la base du scénario du pire. Le complément définit désormais comment les paramètres techniques des antennes adaptatives doivent être déclarés dans la fiche de données spécifique au site et comment leur contribution à l'intensité du champ électrique de l'installation de téléphonie mobile doit être calculée. Il indique en outre comment les antennes adaptatives doivent être contrôlées dans les systèmes d'assurance de la qualité utilisés par les opérateurs (complément, p. 6). Il y est aussi précisé que, conformément à l’annexe 1 ch. 63 de l’ORNI révisée, le mode d’exploitation déterminant pour les antennes adaptatives correspond également au mode d’exploitation dans lequel un maximum de conversations et de données est transféré, l’émetteur étant au maximum de sa puissance. En raison des propriétés spécifiques des antennes adaptatives, la variabilité des directions d’émission et des diagrammes d’antenne doit également être prise en considération. Concrètement, il faut aussi tenir compte du fait que les antennes adaptatives ne peuvent pas émettre en même temps à la puissance d'émission maximale possible dans toutes les directions, ce qui correspond au scénario du pire. Dans la réalité, la puissance d'émission est répartie pour les signaux qui sont émis dans différentes directions. En outre, conformément à l'annexe 1 ch. 64 ORNI, dans un LUS, la preuve par calcul du respect de la valeur limite de l'installation est fournie comme auparavant au moyen de la fiche complémentaire 4a de la fiche de données spécifique au site (complément, p. 7 ss).</w:t>
      </w:r>
    </w:p>
    <w:p>
      <w:r>
        <w:rPr>
          <w:b/>
        </w:rPr>
        <w:t>E. 30</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Celle-ci doit contenir les données techniques et opérationnelles actuelles et prévues de l'installation, dans la mesure où celles-ci sont déterminantes pour l'émission de</w:t>
      </w:r>
    </w:p>
    <w:p>
      <w:r>
        <w:t>- 16/19 - A/585/2024 rayonnements (art. 11 al. 2 let. a ORNI). Cela inclut notamment la puissance ERP (art. 3 al. 9 ORNI), y compris la direction du faisceau principal des antennes, et si l'antenne fonctionne en mode adaptatif ou non. Les données correspondantes servent de base pour le permis de construire et sont contraignantes pour l'opérateur ; toute augmentation de l'ERP au-delà de la valeur maximale autorisée et toute direction de transmission au-delà du domaine angulaire autorisé est considérée comme un changement de l'installation, ayant pour conséquence qu'une nouvelle fiche de données spécifique au site doit être présentée (annexe 1 ch. 62 al. 5 let. d et e ORNI ; ATF 128 II 378 [arrêt du Tribunal fédéral 1A.264/2000 du 24 septembre 2002] consid. 8.1, non publié). La fiche de données du site doit également contenir des informations sur le lieu accessible où ce rayonnement est le plus fort, sur les trois LUS où ce rayonnement est le plus fort, et sur tous les LUS où la valeur limite de l’installation au sens de l’annexe 1 est dépassée (art. 11 al. 2 let. c ORNI).</w:t>
      </w:r>
    </w:p>
    <w:p>
      <w:r>
        <w:rPr>
          <w:b/>
        </w:rPr>
        <w:t>E. 31</w:t>
      </w:r>
    </w:p>
    <w:p>
      <w:r>
        <w:t>Il est vrai que la prévision calculée qui doit être faite sur la base de ces informations est sujette à certaines incertitudes, car elle prend en compte les principaux facteurs d'influence mais ne tient pas compte de toutes les subtilités de la propagation du rayonnement. Cependant, le Tribunal fédéral a précisé que, dans ce calcul, l'incertitude de mesure ne doit être ni ajoutée ni déduite. Seules les valeurs mesurées doivent être prises en compte (arrêts du Tribunal fédéral 1C_653/2013 du 12 août 2014 consid. 3.4; 1C_132/2007 du 30 janvier 2008 consid. 4.4-4.6 in RDAF 2009 I 536). En effet, c'est pour prendre en compte cette incertitude que des mesures de réception doivent être effectuées après la mise en service de l'installation si, selon la prévision calculée, 80 % de la valeur limite de l'installation est atteinte à un LUS (complément recommandation OFEV, ch. 2.1.8 ; Benjamin WITTWER, Bewilligung von Mobilfunkanlagen, 2e éd., Zurich 2008, p. 61 s. ; arrêt du Tribunal fédéral 1A.148/2002 du 12 août 2003 consid. 4.3.1 s.). Si, sur la base de ces mesures, il s'avère que la VLInst est dépassée lors du fonctionnement, la puissance d'émission maximale admissible doit être redéfinie et le respect des valeurs prescrites doit être démontré par des mesures supplémentaires (cf. arrêt du tribunal fédéral 1C_681/2017 du 1 décembre 2019 consid. 4.5). De surcroît, le risque d'un pronostic erroné est supporté par le maître d'ouvrage dans la mesure où il peut encore être amené à prendre des mesures pour assurer le respect des valeurs limites ultérieurement, c'est-à-dire après la mise en service de l'installation (cf. ATF 130 II</w:t>
      </w:r>
    </w:p>
    <w:p>
      <w:r>
        <w:rPr>
          <w:b/>
        </w:rPr>
        <w:t>E. 32</w:t>
      </w:r>
    </w:p>
    <w:p>
      <w:r>
        <w:t>De surcroît, il sied d'ajouter qu'au printemps 2005, le Tribunal fédéral avait estimé qu'il fallait mieux contrôler l'exploitation des antennes de téléphonie mobile, afin de garantir en particulier que les puissances émettrices et les directions d'émission autorisées soient respectées. Sur cette base, l'OFEV a mis en place un système d'assurance qualité prévoyant que pour chaque antenne, les valeurs correspondant à la direction et à la puissance émettrice maximale sont enregistrées dans une banque de données et comparées quotidiennement aux valeurs autorisées. Ce système est examiné périodiquement et certifié par un organe indépendant. SWISSCOM a mis en place un tel système de sécurité, dont les nouveaux</w:t>
      </w:r>
    </w:p>
    <w:p>
      <w:r>
        <w:t>- 17/19 - A/585/2024 paramètres relatifs aux antennes adaptatives ont été validé par l'OFCOM en date du 8 juillet 2021, leur dernière certification par un organe indépendant datant du 15 décembre 2022 (Swisscom - certificat pour le système d'AQ 2022-2025, accessible à l'adresse https://www.bafu.admin.ch/bafu/fr/home/themes/electrosmog/info- specialistes/mesures-contre-l-electrosmog/assurance-de-la-qualite-en-ce-qui-concerne-le- respect-des-valeur.html ; consulté le 30 juillet 2024).</w:t>
      </w:r>
    </w:p>
    <w:p>
      <w:r>
        <w:rPr>
          <w:b/>
        </w:rPr>
        <w:t>E. 33</w:t>
      </w:r>
    </w:p>
    <w:p>
      <w:r>
        <w:t>Le Tribunal fédéral a reconnu le système AQ comme un instrument de contrôle performant et n'a pas considéré nécessaire de recourir à un contrôle par des mesures de construction (arrêt du Tribunal fédéral 1C_282/2008 du 7 avril 2009 consid. 3.5).</w:t>
      </w:r>
    </w:p>
    <w:p>
      <w:r>
        <w:rPr>
          <w:b/>
        </w:rPr>
        <w:t>E. 34</w:t>
      </w:r>
    </w:p>
    <w:p>
      <w:r>
        <w:t>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w:t>
      </w:r>
    </w:p>
    <w:p>
      <w:r>
        <w:rPr>
          <w:b/>
        </w:rPr>
        <w:t>E. 35</w:t>
      </w:r>
    </w:p>
    <w:p>
      <w:r>
        <w:t>En l'espèce, d'après la FDSS, la VLInst à respecter est celle prévue au chiffre 64 let. c Annexe 1 ORNI, soit 5.0 V/m. S'agissant du rayonnement dans les LUS les plus chargés - soit les LUS nos 2, 3 et 5, toutes les mesures présentent une intensité de champ électrique inférieure à 5.0 V/m. Comme confirmé par la jurisprudence précitée, l'incertitude de mesure ne doit être ni ajoutée ni déduite et seules les valeurs mesurées doivent être prises en compte. Ces mesures ont été vérifiées par le SABRA, autorité spécialisée compétente, sans que celle-ci n'ait mis en doute leur véracité. En l'absence d'éléments indiquant le contraire, il n'y a pas lieu pour le tribunal de céans de les remettre en cause. S'agissant des LUS prétendument manquants, soit ceux situés au niveau du jardin d’enfants, des écoles enfantine et primaire de H______ de leurs préaux et de l’immeuble sis au ______, selon la jurisprudence du Tribunal fédéral, l'autorité peut choisir les LUS à mesurer en tenant compte de motifs techniques et de son expérience (Arrêt du Tribunal fédéral, 1C_100/2021 du 14 février 2023 consid. 8.4.3). Ainsi, il en découle que la seule proximité physique est insuffisante pour critiquer le choix d'un LUS par l'opérateur et le SABRA, à condition que les exigences de l'art. 11 al. 2 ORNI notamment, soient respectées. En l’espèce, il ressort de la FDSS que si seuls six LUS ont été retenus dans celle-ci, en réalité, d’autres LUS ont été examinés dans le cadre du projet, lesquels présentaient des valeurs prévisionnelles inférieures, de sorte qu'ils ont été écartés. Il est d’ailleurs spécifié que ces derniers n’excèdent pas 3.22 V/m. Rien ne laisse ainsi penser que l'opérateur n'aurait pas pris en compte un LUS déterminant, ce d'autant que l'autorité spécialisée, soit le SABRA, n'a émis aucune réserve à ce sujet. Ainsi, l’absence des LUS précités dans la FDSS ne contrevient pas aux exigences de l'ORNI et à la jurisprudence du Tribunal fédéral rendue à ce sujet. Globalement, à la lumière des données de la FDSS, le permis de construire garantit toujours le respect des valeurs limites pertinentes, notamment par le biais des conditions associées comprises dans le préavis du SABRA, en particulier une</w:t>
      </w:r>
    </w:p>
    <w:p>
      <w:r>
        <w:t>- 18/19 - A/585/2024 mesure de contrôle aux LUS nos 2, 3, 5 et une intégration de cette installation dans le système AQ de l'opérateur (cf. chiffre 4 de la décision d'autorisation de construire). Enfin, concernant la prétendue absence d’assurance d’un système AQ, les recourantes font en réalité un procès d’intention à la bénéficiaire de l’autorisation de construire, partant apparemment de l’idée qu’elle ne respectera pas les conditions posées par la décision litigieuse, lesquelles reprennent celles du SABRA, puisqu’elles imposent précisément à l’intimée d’intégrer l’installation litigieuse dans son système AQ. À toutes fins utiles, il sied de rappeler que la jurisprudence du Tribunal fédéral est claire : la limitation préventive des émissions prévues par l'ORNI est déterminée de manière exhaustive avec l'édiction des VLInst, sans que le département ne puisse exiger une limitation supplémentaire dans un cas individuel. Ainsi, en octroyant l'autorisation de construire sur la base de la prévision que l'installation respecterait les VLInst, moyennant les réserves émises dans le préavis du SABRA, la décision du département est conforme au droit fédéral. Dès lors le principe de précaution n'a pas été violé. Le grief est donc écarté.</w:t>
      </w:r>
    </w:p>
    <w:p>
      <w:r>
        <w:rPr>
          <w:b/>
        </w:rPr>
        <w:t>E. 36</w:t>
      </w:r>
    </w:p>
    <w:p>
      <w:r>
        <w:t>Intégralement mal fondé, le recours sera rejeté.</w:t>
      </w:r>
    </w:p>
    <w:p>
      <w:r>
        <w:rPr>
          <w:b/>
        </w:rPr>
        <w:t>E. 37</w:t>
      </w:r>
    </w:p>
    <w:p>
      <w:r>
        <w:t>En application des art. 87 al. 1 LPA et 1 et 2 du règlement sur les frais, émoluments et indemnités en procédure administrative du 30 juillet 1986 (RFPA - E 5 10.03), les recourantes, prises conjointement et solidairement, qui succombent, sont condamnées au paiement d’un émolument s'élevant à CHF 900.- ; il est couvert par l’avance de frais versée à la suite du dépôt du recours. Vu l’issue du litige, aucune indemnité de procédure ne sera allouée (art. 87 al. 2 LPA).</w:t>
      </w:r>
    </w:p>
    <w:p>
      <w:r>
        <w:t>- 19/19 - A/585/2024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