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JTAPI/90/2024 vom 24. Januar 2024</w:t>
      </w:r>
    </w:p>
    <w:p>
      <w:r>
        <w:t>GE Cour de justice, 2024-01-24, FR</w:t>
      </w:r>
    </w:p>
    <w:p>
      <w:r>
        <w:rPr>
          <w:b/>
        </w:rPr>
        <w:t xml:space="preserve">Quelle: </w:t>
      </w:r>
      <w:r>
        <w:t>https://mcp.opencaselaw.ch/entscheid/ge_gerichte_JTAPI_90_2024</w:t>
      </w:r>
    </w:p>
    <w:p>
      <w:r>
        <w:t>FR: GE_GERICHTE JTAPI/90/2024 du 24 janvier 2024</w:t>
      </w:r>
    </w:p>
    <w:p>
      <w:r>
        <w:t>IT: GE_GERICHTE JTAPI/90/2024 del 24 gennaio 2024</w:t>
      </w:r>
    </w:p>
    <w:p>
      <w:pPr>
        <w:pStyle w:val="Heading2"/>
      </w:pPr>
      <w:r>
        <w:t>Erwägungen</w:t>
      </w:r>
    </w:p>
    <w:p>
      <w:r>
        <w:rPr>
          <w:b/>
        </w:rPr>
        <w:t>E. 1</w:t>
      </w:r>
    </w:p>
    <w:p>
      <w:r>
        <w:t>Le Tribunal administratif de première instance est compétent pour examiner d'office la légalité et l’adéquation de la détention administrative en vue de renvoi ou d’expulsion (art. 115 al. 1 et 116 al. 1 de la loi sur l’organisation judiciaire du 26 septembre 2010 - LOJ - E 2 05 ; art. 7 al. 4 let. d de loi d'application de la loi fédérale sur les étrangers du 16 juin 1988 - LaLEtr - F 2 10). Il doit y procéder dans les nonante-six heures qui suivent l'ordre de mise en détention (art. 80 al. 2 de la loi fédérale sur les étrangers et l’intégration du 16 décembre 2005 - LEI - RS 142.20 ; anciennement dénommée loi fédérale sur les étrangers - LEtr ; 9 al. 3 LaLEtr).</w:t>
      </w:r>
    </w:p>
    <w:p>
      <w:r>
        <w:rPr>
          <w:b/>
        </w:rPr>
        <w:t>E. 2</w:t>
      </w:r>
    </w:p>
    <w:p>
      <w:r>
        <w:t>En l'espèce, le tribunal a été valablement saisi et respecte le délai précité en statuant ce jour, la détention administrative ayant débuté le 1er février 2024 à 14h30.</w:t>
      </w:r>
    </w:p>
    <w:p>
      <w:r>
        <w:rPr>
          <w:b/>
        </w:rPr>
        <w:t>E. 3</w:t>
      </w:r>
    </w:p>
    <w:p>
      <w:r>
        <w:t>L'art. 76 al. 1 let. b ch. 1 LEI, renvoyant à l'art. 75 al. 1 lettre h LEI, permet d'ordonner la détention administrative d'un ressortissant étranger afin d'assurer</w:t>
      </w:r>
    </w:p>
    <w:p>
      <w:r>
        <w:t>- 4/6 - A/357/2024 l'exécution d'une décision de renvoi ou d'expulsion notifiée à celui-ci, lorsque la personne concernée a été condamnée pour crime, par quoi il faut entendre une infraction passible d’une peine privative de liberté de plus de 3 ans (art. 10 al. 2 CP).</w:t>
      </w:r>
    </w:p>
    <w:p>
      <w:r>
        <w:rPr>
          <w:b/>
        </w:rPr>
        <w:t>E. 4</w:t>
      </w:r>
    </w:p>
    <w:p>
      <w:r>
        <w:t>On précisera également, comme cela ressort du texte même de l'art. 76 al. 1 LEI ("décision de première instance de renvoi ou d'expulsion") et de la jurisprudence constante du Tribunal fédéral, que la détention en vue du renvoi n'impliquera pas que la décision de renvoi sur laquelle elle repose soit définitive et exécutoire (cf. not. ATF 130 II 377 consid. 1 ; 129 II 1 consid. 2 ; 122 II 148 consid. 1 ; 121 II 59 consid. 2a).</w:t>
      </w:r>
    </w:p>
    <w:p>
      <w:r>
        <w:rPr>
          <w:b/>
        </w:rPr>
        <w:t>E. 5</w:t>
      </w:r>
    </w:p>
    <w:p>
      <w:r>
        <w:t>En l'occurrence, M. A______ fait l'objet d'une expulsion judiciaire prononcée par le Tribunal de police le 24 janvier 2024 pour une durée de cinq ans, cette juridiction l'ayant reconnu coupable notamment de vol, soit d'une infraction constitutive de crime.</w:t>
      </w:r>
    </w:p>
    <w:p>
      <w:r>
        <w:rPr>
          <w:b/>
        </w:rPr>
        <w:t>E. 6</w:t>
      </w:r>
    </w:p>
    <w:p>
      <w:r>
        <w:t>Que cette expulsion judiciaire ne soit pas définitive, comme le relève le Conseil de M. A______, n'est pas contraire aux conditions de l'art. 76 al. 1 let. b ch. 1 LEI, compte tenu de la jurisprudence rendue à ce sujet et rappelée plus haut. Quant au fait que l'art. 69 al. 1 let. c LEI prévoit que l’autorité cantonale compétente exécute le renvoi ou l’expulsion d’un étranger lorsqu'il se trouve en détention en vertu de l’art. 76 ou 77 LEI et que la décision de renvoi ou d’expulsion au sens de la présente loi ou la décision d’expulsion au sens des art. 66a ou 66abis CP172 ou 49a ou 49abis CPM173 est entrée en force, ceci n'entre pas en contradiction avec ce qui vient d'être dit. En effet, le caractère non définitif de la décision d'expulsion n'affecte pas la détention elle-même, mais fait obstacle à l'exécution du renvoi. Il s'agit clairement de deux aspects distincts.</w:t>
      </w:r>
    </w:p>
    <w:p>
      <w:r>
        <w:rPr>
          <w:b/>
        </w:rPr>
        <w:t>E. 7</w:t>
      </w:r>
    </w:p>
    <w:p>
      <w:r>
        <w:t>Ainsi, sur le principe, la détention administrative de M. A______ remplit les conditions prévues par les dispositions légales susmentionnées, sans qu'il importe d'examiner si les motifs de détention alternatifs sur lesquels le Commissaire de police a fondé sa décision sont eux aussi réalisés.</w:t>
      </w:r>
    </w:p>
    <w:p>
      <w:r>
        <w:rPr>
          <w:b/>
        </w:rPr>
        <w:t>E. 8</w:t>
      </w:r>
    </w:p>
    <w:p>
      <w:r>
        <w:t>Selon le texte de l'art. 76 al. 1 LEI, l'autorité "peut" prononcer la détention administrative lorsque les conditions légales sont réunies. L'utilisation de la forme potestative signifie qu'elle n'en a pas l'obligation et que, dans la marge d'appréciation dont elle dispose dans l'application de la loi, elle se doit d'examiner la proportionnalité de la mesure qu'elle envisage de prendre.</w:t>
      </w:r>
    </w:p>
    <w:p>
      <w:r>
        <w:rPr>
          <w:b/>
        </w:rPr>
        <w:t>E. 9</w:t>
      </w:r>
    </w:p>
    <w:p>
      <w:r>
        <w:t>Le principe de la proportionnalité, garanti par l'art. 36 Cst., se compose des règles d'aptitude - qui exige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w:t>
      </w:r>
    </w:p>
    <w:p>
      <w:r>
        <w:t>- 5/6 - A/357/2024 personne concernée et le résultat escompté du point de vue de l'intérêt public (ATF 125 I 474 consid. 3 et les arrêts cités ; arrêt du Tribunal fédéral 1P.269/2001 du 7 juin 2001 consid. 2c ; ATA/752/2012 du 1er novembre 2012 consid. 7). Il convient dès lors d'examiner, en fonction des circonstances concrètes, si la détention en vue d'assurer l'exécution d'un renvoi au sens de l'art. 5 par. 1 let. f CEDH est adaptée et nécessaire (ATF 135 II 105 consid. 2.2.1 ; 134 I 92 consid. 2.3.1 ; arrêts du Tribunal fédéral 2C_26/2013 du 29 janvier 2013 consid. 3.1 ; 2C_420/2011 du 9 juin 2011 consid. 4.1 ; 2C_974/2010 du 11 janvier 2011 consid. 3.1 ; 2C_756/2009 du 15 décembre 2009 consid. 2.1).</w:t>
      </w:r>
    </w:p>
    <w:p>
      <w:r>
        <w:rPr>
          <w:b/>
        </w:rPr>
        <w:t>E. 10</w:t>
      </w:r>
    </w:p>
    <w:p>
      <w:r>
        <w:t>Par ailleurs, les démarches nécessaires à l'exécution du renvoi doivent être entreprises sans tarder par l'autorité compétente (art. 76 al. 4 LEI). Il s'agit, selon la jurisprudence du Tribunal fédéral, d'une condition à laquelle la détention est subordonnée (arrêt 2A.581/2006 du 18 octobre 2006 ; cf. aussi ATA/315/2010 du 6 mai 2010 ; ATA/88/2010 du 9 février 2010 ; ATA/644/2009 du 8 décembre 2009 et les références citées).</w:t>
      </w:r>
    </w:p>
    <w:p>
      <w:r>
        <w:rPr>
          <w:b/>
        </w:rPr>
        <w:t>E. 11</w:t>
      </w:r>
    </w:p>
    <w:p>
      <w:r>
        <w:t>En l'espèce, M. A______ n'a pas contesté par la bouche de son Conseil la proportionnalité de sa détention. Sur le principe, cette mesure apparaît en effet comme la seule qui soit apte à permettre d'exécuter son renvoi, vu le peu de cas que M. A______ a fait jusqu'ici des décisions le concernant ou tout simplement de l'ordre juridique suisse. En outre, les autorités suisses compétentes ont agi avec célérité. Enfin, s'agissant de la durée de la détention, prononcée pour trois mois, elle s'avère a priori justifiée, étant donné les différentes étapes du processus qui aboutira à l'exécution du renvoi de M. A______, à commencer par l'obtention de la réponse des autorités de Bosnie et Herzégovine qui peut prendre jusqu'à quatre semaines et qui conditionne la suite du processus.</w:t>
      </w:r>
    </w:p>
    <w:p>
      <w:r>
        <w:rPr>
          <w:b/>
        </w:rPr>
        <w:t>E. 12</w:t>
      </w:r>
    </w:p>
    <w:p>
      <w:r>
        <w:t>Au vu de ce qui précède, il y a lieu de confirmer l'ordre de mise en détention administrative de M. A______ pour une durée de trois mois.</w:t>
      </w:r>
    </w:p>
    <w:p>
      <w:r>
        <w:rPr>
          <w:b/>
        </w:rPr>
        <w:t>E. 13</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SEM.</w:t>
      </w:r>
    </w:p>
    <w:p>
      <w:r>
        <w:t>- 6/6 - A/357/2024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