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JTAPI/905/2024 vom 12. September 2024</w:t>
      </w:r>
    </w:p>
    <w:p>
      <w:r>
        <w:t>GE Cour de justice, 2024-09-12, FR</w:t>
      </w:r>
    </w:p>
    <w:p>
      <w:r>
        <w:rPr>
          <w:b/>
        </w:rPr>
        <w:t xml:space="preserve">Quelle: </w:t>
      </w:r>
      <w:r>
        <w:t>https://mcp.opencaselaw.ch/entscheid/ge_gerichte_JTAPI_905_2024</w:t>
      </w:r>
    </w:p>
    <w:p>
      <w:r>
        <w:t>FR: GE_GERICHTE JTAPI/905/2024 du 12 septembre 2024</w:t>
      </w:r>
    </w:p>
    <w:p>
      <w:r>
        <w:t>IT: GE_GERICHTE JTAPI/905/2024 del 12 settembre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conteste le bien-fondé de la décision du département du ______ 2023, refusant de lui accorder l’autorisation de construire sollicitée afin de procéder à la transformation du bâtiment et à l’installation d’une PAC. Cela étant, il est admis que le bâtiment en cause se trouve sur la partie de la parcelle située en zone de bois et forêts au sens de l'art. 23 LaLAT), soit hors de la zone à bâtir, mais il soutient principalement que c'est exclusivement la législation fédérale et cantonale en matière de protection de la forêt qui devrait s'appliquer dans le cas d'espèce, à l'exclusion des dispositions de la LAT régissant les constructions autorisables à titre dérogatoire, en particulier l'art. 24C LAT.</w:t>
      </w:r>
    </w:p>
    <w:p>
      <w:r>
        <w:rPr>
          <w:b/>
        </w:rPr>
        <w:t>E. 4</w:t>
      </w:r>
    </w:p>
    <w:p>
      <w:r>
        <w:t>Selon l'article 14 LAT, les plans d'utilisation du sol dressés par les cantons délimitent les zones à bâtir, les zones agricoles et les zones à protéger. En dehors ou à l'intérieur de ces zones-cadre, les cantons peuvent prévoir d'autres zones d'affectation (art. 18 al. 1 LAT). À teneur de l’art. 18 al. 3 LAT, l’aire forestière est définie et protégée par la législation fédérale. La doctrine retient qu'elle se situe hors de la zone à bâtir (Rudolf MUGGLI, in Heinz AEMISEGGER/Pierre MOOR/Alexander RUCH/Pierre TSCHANNEN, Commentaire pratique LAT : Construire hors zone à bâtir, 2017, n. 30 ad remarques préliminaires art. 24 à 24e et 37a LAT).</w:t>
      </w:r>
    </w:p>
    <w:p>
      <w:r>
        <w:rPr>
          <w:b/>
        </w:rPr>
        <w:t>E. 5</w:t>
      </w:r>
    </w:p>
    <w:p>
      <w:r>
        <w:t>Sur le plan cantonal, la LaLAT distingue, selon sa systématique, les zones ordinaires (Titre III chap. III) et plusieurs autres types de zones (Titre III chap. IV et suivants). Les zones ordinaires sont elles-mêmes de différents types et comprennent plusieurs catégories de zones à bâtir (Section 1), la zone agricole (Section 2), les zones de gravières et de décharges (Section 2A), les zones de hameau (Section 3), les zones des bois et forêts (Section 4), etc. Selon l'art. 23 LaLAT, la zone des bois et forêt comprend la surface forestière du canton, telle que</w:t>
      </w:r>
    </w:p>
    <w:p>
      <w:r>
        <w:t>- 10/16 - A/206/2024 déterminée par la loi sur les forêts du 20 mai 1999 (al. 1). Cette loi définit les possibilités de construction dans ladite zone (al. 2).</w:t>
      </w:r>
    </w:p>
    <w:p>
      <w:r>
        <w:rPr>
          <w:b/>
        </w:rPr>
        <w:t>E. 6</w:t>
      </w:r>
    </w:p>
    <w:p>
      <w:r>
        <w:t>À teneur de l'art. 2 de la LForêts, sont considérés comme forêts les peuplements boisés présentant toutes les caractéristiques qualitatives d'une forêt, exerçant une fonction forestière et répondant à un certain nombre de critères énumérés par cette disposition légale.</w:t>
      </w:r>
    </w:p>
    <w:p>
      <w:r>
        <w:rPr>
          <w:b/>
        </w:rPr>
        <w:t>E. 7</w:t>
      </w:r>
    </w:p>
    <w:p>
      <w:r>
        <w:t>Eu égard à ce qui précède, il convient de distinguer, d'une part, la zone des bois et forêts en tant que zone d'affectation au sens de l'art. 23 LaLAT et, d'autre part, la forêt elle-même, telle que définie par la législation fédérale et par l'art. 2 LForêts. La différence tient au fait que la forêt elle-même n'occupe pas nécessairement entièrement le périmètre d'une zone de bois et forêts. La conséquence de cette distinction concerne le régime juridique applicable à un projet de construction, selon qu'il se situe à l'intérieur de la forêt, ou à l'extérieur de cette dernière mais néanmoins en zone des bois et forêts. Dans le premier cas, outre les dispositions spécifiques de la LForêts, le projet est soumis aux conditions de l'art. 11 LFo, qui prescrit la manière dont s'appliquent les dispositions de la LAT relatives aux autorisations de construire ordinaires ou exceptionnelles. Dans le second cas, on se situe en dehors du champ d'application de la LFo et la question relative à la possibilité d'ériger une construction s'analyse en premier lieu sous l'angle des dispositions dérogatoires de la LAT et de la LaLAT applicables aux constructions prévues en dehors de la zone à bâtir.</w:t>
      </w:r>
    </w:p>
    <w:p>
      <w:r>
        <w:rPr>
          <w:b/>
        </w:rPr>
        <w:t>E. 8</w:t>
      </w:r>
    </w:p>
    <w:p>
      <w:r>
        <w:t>Dans la présente espèce, à teneur du Système d'information du territoire genevois (SITG), le bâtiment litigieux est certes entièrement inscrit à l'intérieur de la zone des bois et forêts, mais néanmoins à l'extérieur du cadastre forestier, c'est-à-dire en dehors de la forêt, comme le montrent d'ailleurs les photographies aériennes également disponibles sur le SITG. Par conséquent, contrairement à ce que soutient le recourant, le projet litigieux n'est pas soumis à la LForêts, sinon sous l'angle de son art. 11 qui réglemente les constructions situées à proximité de la forêt. Le recourant lui-même ne semble d'ailleurs pas contester que le projet litigieux se situe en dehors de la forêt, puisqu'il invoque précisément les art. 17 LFo et 11 LForêts qui concernent les constructions situées à proximité de cette dernière.</w:t>
      </w:r>
    </w:p>
    <w:p>
      <w:r>
        <w:rPr>
          <w:b/>
        </w:rPr>
        <w:t>E. 9</w:t>
      </w:r>
    </w:p>
    <w:p>
      <w:r>
        <w:t>Comme indiqué plus haut, il en résulte que ce sont avant tout les dispositions de la LAT relatives aux constructions situées en dehors de la zone à bâtir qui s'appliquent, l'art. 11 LForêts ne trouvant pour sa part application, en tant qu'il pose des conditions spécifiques relatives à la protection de la forêt, que pour autant que le projet concerné soit autorisable sous l'angle de la LAT.</w:t>
      </w:r>
    </w:p>
    <w:p>
      <w:r>
        <w:rPr>
          <w:b/>
        </w:rPr>
        <w:t>E. 10</w:t>
      </w:r>
    </w:p>
    <w:p>
      <w:r>
        <w:t>À teneur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w:t>
      </w:r>
    </w:p>
    <w:p>
      <w:r>
        <w:t>- 11/16 - A/206/2024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w:t>
      </w:r>
    </w:p>
    <w:p>
      <w:r>
        <w:rPr>
          <w:b/>
        </w:rPr>
        <w:t>E. 11</w:t>
      </w:r>
    </w:p>
    <w:p>
      <w:r>
        <w:t>Pour prétendre à une dérogation au titre des art. 24 à 24e et 37a LAT, le projet en question doit notamment se trouver hors de la zone à bâtir, qui, comme vu plus haut comprend notamment l’aire forestière, être non conforme à l’affectation de la zone de non bâtir concernée et répondre aux critères spécifiques à l’une des situations visées aux art. 24 à 24e ou 37a LAT (Rudolf MUGGLI op. cit. n. 30 et n. 32 ad remarques préliminaires art. 24 à 24e et 37a LAT).</w:t>
      </w:r>
    </w:p>
    <w:p>
      <w:r>
        <w:rPr>
          <w:b/>
        </w:rPr>
        <w:t>E. 12</w:t>
      </w:r>
    </w:p>
    <w:p>
      <w:r>
        <w:t>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(cf. art. 41 OAT). La date déterminante est en principe celle du 1er juillet 1972, date de l'entrée en vigueur de la loi fédérale du 8 octobre 1971 sur la protection des eaux contre la pollution, qui a introduit le principe de la séparation du territoire bâti et non bâti (ATF 129 II 396 consid. 4.2.1; arrêts 1C_491/2020 du 10 mai 2021 consid. 2.1 ; 1C_162/2019 du 25 novembre 2019 consid. 3.1 et les références citées). L’art. 41 al. 1 OAT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1C_347/2014 du 16 janvier 2015 consid. 3.5). Cette disposition ne s’applique donc pas aux constructions ayant toujours été contraires à l’affectation de la zone, mais ayant été érigées après l’introduction, le 1er juillet 1972, de la séparation entre territoire constructible et non constructible (Rudolf MUGGLI in Heinz AEMISEGGER/Pierre MOOR/Alexander RUCH/Pierre TSCHANNEN, Commentaire de la loi fédérale sur l'aménagement du territoire, 2010, n. 17 ad. art. 24 LAT).</w:t>
      </w:r>
    </w:p>
    <w:p>
      <w:r>
        <w:rPr>
          <w:b/>
        </w:rPr>
        <w:t>E. 13</w:t>
      </w:r>
    </w:p>
    <w:p>
      <w:r>
        <w:t>L’art. 24c LAT ne s’applique pas non plus aux constructions qui sont transformées ou érigées illégalement, même si le rétablissement de l’état conforme au droit n’a pas pu être effectué pour des raisons de proportionnalité, de prescription ou de péremption. Le fait qu’une construction illicite en zone agricole a été tolérée pendant longtemps par les autorités et que le propriétaire est dès lors protégé dans sa bonne foi, empêche également l’application de l’art. 24c LAT et s’oppose tout au plus à une remise en état des lieux (arrêt du Tribunal fédéral 1C_486/2015 du 24 mai 2016 consid. 2.1.1 et les références citées).</w:t>
      </w:r>
    </w:p>
    <w:p>
      <w:r>
        <w:t>- 12/16 - A/206/2024 Si, dans le cas d’une construction formellement et matériellement contraire au droit, l’autorité renonce à rétablir l’état conforme au droit, cela ne change rien au caractère illégal de la construction, qui ne peut dès lors être modifiée au titre de l’art. 24c LAT (Rudolf MUGGLI, in Heinz AEMISEGGER/Pierre MOOR/Alexander RUCH/Pierre TSCHANNEN, Commentaire pratique LAT : Construire hors zone à bâtir, 2017, n. 15 ad art. 24c LAT).</w:t>
      </w:r>
    </w:p>
    <w:p>
      <w:r>
        <w:rPr>
          <w:b/>
        </w:rPr>
        <w:t>E. 14</w:t>
      </w:r>
    </w:p>
    <w:p>
      <w:r>
        <w:t>En l’espèce, force est de constater que les critères précités dégagés par la jurisprudence et la doctrine ne sont pas remplis. En effet, il ressort du dossier que le bâtiment en cause, qui ne figure pas sur les photographies aériennes de 1972 mais qui est visible sur celles de 1983, aurait été construit, selon le recourant en 1981 ou en 1982. En tout état, le bâtiment a non seulement été érigé après l'entrée en vigueur, le 1er juillet 1972, de la loi fédérale du 8 octobre 1971 sur la protection des eaux contre la pollution, mais il a aussi toujours été contraire à l’affectation de la zone dans laquelle il se trouvait, sans que l'autorisation délivrée en 1984 n'y change quoi que ce soit. Contrairement à ce que prévoit l'art. 24c LAT, il n’est ainsi pas devenu contraire à l'affectation de la zone à la suite d'une modification de la législation ou des plans d'aménagement. Pour ces motifs, c’est à juste titre que le département a refusé de délivrer une autorisation de construire dérogatoire, en application de l’art. 24c LAT.</w:t>
      </w:r>
    </w:p>
    <w:p>
      <w:r>
        <w:rPr>
          <w:b/>
        </w:rPr>
        <w:t>E. 15</w:t>
      </w:r>
    </w:p>
    <w:p>
      <w:r>
        <w:t>Le recourant invoque une violation du principe de la bonne foi. Il soutient que, même en admettant que le bâtiment en cause serait illicite - ce qu’il conteste compte tenu de sa régularisation lors de l’octroi de l’autorisation de construire en 1984 - il serait protégé par le principe de la bonne foi. Le département n’avait en effet pris aucune mesure à son encontre durant plus de quarante ans. De plus, le nouvel art. 25 al. 5 LAT appelé à entrer en vigueur prochainement en vigueur garantirait le maintien de ce bâtiment qui ne pourrait être remis en cause. En outre, compte tenu de l’écoulement du temps et de l’absence d’ordre de remise en état, il pouvait penser de bonne foi qu’il avait « des chances sérieuses » d’obtenir l’autorisation de procéder à des transformations intérieures.</w:t>
      </w:r>
    </w:p>
    <w:p>
      <w:r>
        <w:rPr>
          <w:b/>
        </w:rPr>
        <w:t>E. 16</w:t>
      </w:r>
    </w:p>
    <w:p>
      <w:r>
        <w:t>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w:t>
      </w:r>
    </w:p>
    <w:p>
      <w:r>
        <w:t>- 13/16 - A/206/2024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w:t>
      </w:r>
    </w:p>
    <w:p>
      <w:r>
        <w:rPr>
          <w:b/>
        </w:rPr>
        <w:t>E. 17</w:t>
      </w:r>
    </w:p>
    <w:p>
      <w:r>
        <w:t>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rPr>
          <w:b/>
        </w:rPr>
        <w:t>E. 18</w:t>
      </w:r>
    </w:p>
    <w:p>
      <w:r>
        <w:t>Le principe de la confiance est toutefois un élément à prendre en considération et non un facteur donnant en tant que tel naissance à un droit (arrêt du Tribunal fédéral 2P.170/2004 du 14 octobre 2004 ; Thierry TANQUEREL, Manuel de droit administratif, 2018, p. 193 n. 569 et les références citées).</w:t>
      </w:r>
    </w:p>
    <w:p>
      <w:r>
        <w:rPr>
          <w:b/>
        </w:rPr>
        <w:t>E. 19</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(ATF 147 II 309 consid 5.5; arrêts 1C_582/2021 du 21 février 2023 consid. 6.1; 1C_533/2021 du 19 janvier 2023 consid. 5; cf. art. 14 al. 2, 16 al. 1, 22 al. 2 let. a et 24 ss LAT).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 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ainsi que le respect du principe de l'égalité de traitement devant la loi (arrêts 1C_189/2022 du 13 janvier 2022 consid. 2.2; 1C_8/2022 du 5 décembre 2022 consid. 4.1).</w:t>
      </w:r>
    </w:p>
    <w:p>
      <w:r>
        <w:t>- 14/16 - A/206/2024</w:t>
      </w:r>
    </w:p>
    <w:p>
      <w:r>
        <w:rPr>
          <w:b/>
        </w:rPr>
        <w:t>E. 20</w:t>
      </w:r>
    </w:p>
    <w:p>
      <w:r>
        <w:t>À l'inverse de ce qui prévaut pour les zones à bâtir, l'obligation de rétablir un état conforme au droit ne s'éteint pas après 30 ans s'agissant de bâtiments et installations érigés illégalement en dehors de la zone à bâtir (ATF 147 II 309 consid. 4 et 5).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(ATF 147 II 309 consid. 5.5 et 5.6).</w:t>
      </w:r>
    </w:p>
    <w:p>
      <w:r>
        <w:rPr>
          <w:b/>
        </w:rPr>
        <w:t>E. 21</w:t>
      </w:r>
    </w:p>
    <w:p>
      <w:r>
        <w:t>En l’espèce, il convient tout d’abord de relever que la décision litigieuse ne remet nullement en cause l’existence du bâtiment concerné par le projet. Cela étant, on ne voit pas en vertu de quels règle ou principe l’écoulement du temps et l’absence d’ordre de remise en état seraient des critères de nature à laisser entendre au recourant qu’il serait autorisé à procéder à des transformations à l’intérieur dudit bâtiment. L’écoulement du temps n’est ainsi pas un critère pertinent dans ce contexte. Au demeurant, le département n’a à aucun moment donné une quelconque assurance au recourant quant à l’octroi d’une quelconque autorisation de construire et l'on ne voit pas non plus, au demeurant, quelles dispositions spécifiques le recourant aurait prises en vertu du comportement de l'autorité intimée, telles qu'il ne pourrait y renoncer sans subir un préjudice. Il ne peut ainsi être reproché à l’autorité intimée d’avoir violé le principe de la bonne foi.</w:t>
      </w:r>
    </w:p>
    <w:p>
      <w:r>
        <w:rPr>
          <w:b/>
        </w:rPr>
        <w:t>E. 22</w:t>
      </w:r>
    </w:p>
    <w:p>
      <w:r>
        <w:t>Le recourant fait également grief au département d’avoir violé le principe de la proportionnalité, au motif que la décision litigieuse portait une grave atteinte à l’intérêt public à l’assainissement d’un bâtiment énergivore et à son intérêt privé à une mise aux normes énergétiques de son habitat. De plus, le projet prévoyait de conserver l’aspect extérieur du bâtiment, de sorte qu’il ne porterait aucune atteinte à l’intérêt public à la protection des plantations forestières, ce que corroboraient les préavis positifs des instances spécialisées.</w:t>
      </w:r>
    </w:p>
    <w:p>
      <w:r>
        <w:rPr>
          <w:b/>
        </w:rPr>
        <w:t>E. 23</w:t>
      </w:r>
    </w:p>
    <w:p>
      <w:r>
        <w:t>Le principe de la proportionnalité, garanti par l’art. 5 al. 2 Cst., exige qu’une mesure restrictive soit apte à produire les résultats escomptés et que ceux-ci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Traditionnellement, ledit principe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ATA/1145/2023 du 17 octobre 2023 consid. 7.3).</w:t>
      </w:r>
    </w:p>
    <w:p>
      <w:r>
        <w:t>- 15/16 - A/206/2024</w:t>
      </w:r>
    </w:p>
    <w:p>
      <w:r>
        <w:rPr>
          <w:b/>
        </w:rPr>
        <w:t>E. 24</w:t>
      </w:r>
    </w:p>
    <w:p>
      <w:r>
        <w:t>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Celui qui place l'autorité devant un fait accompli doit s'attendre à ce que celle-ci se préoccupe plus de rétablir une situation conforme au droit que d'éviter les inconvénients qui en découlent pour lui (ATF 123 II 248 consid. 4a; arrêt 1C_189/2022 du 13 janvier 2023 consid. 2.2).</w:t>
      </w:r>
    </w:p>
    <w:p>
      <w:r>
        <w:rPr>
          <w:b/>
        </w:rPr>
        <w:t>E. 25</w:t>
      </w:r>
    </w:p>
    <w:p>
      <w:r>
        <w:t>En l’espèce, les arguments que le recourant oppose à la décision de refus ne sont pas pertinents dans le cadre d'un refus d'autorisation de construire, dès lors que cette décision a pour seul objectif d'examiner si le projet concerné est conforme au droit des constructions ou non, l'autorité n'ayant, dans ce cadre, aucune marge d'appréciation pour autoriser une construction contraire à l'art. 24c LAT. De plus, il convient de souligner que l’autorité intimée n’a pas prononcé d’ordre de remise en état, mesure qui poursuivrait in casu l’intérêt public au respect de la séparation de l'espace bâti et non bâti. Dans ces circonstances, il ne peut lui être reproché de ne pas avoir tenu compte des intérêts privés du recourant. Ce grief sera ainsi écarté.</w:t>
      </w:r>
    </w:p>
    <w:p>
      <w:r>
        <w:rPr>
          <w:b/>
        </w:rPr>
        <w:t>E. 26</w:t>
      </w:r>
    </w:p>
    <w:p>
      <w:r>
        <w:t>Mal fondé, le recours sera rejeté et la décision entreprise confirmée.</w:t>
      </w:r>
    </w:p>
    <w:p>
      <w:r>
        <w:rPr>
          <w:b/>
        </w:rPr>
        <w:t>E. 27</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Vu l’issue du litige, aucune indemnité de procédure ne sera allouée (art. 87 al. 2 LPA).</w:t>
      </w:r>
    </w:p>
    <w:p>
      <w:r>
        <w:t>- 16/16 - A/206/2024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