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JTAPI/903/2024 vom 9. September 2024</w:t>
      </w:r>
    </w:p>
    <w:p>
      <w:r>
        <w:t>GE Cour de justice, 2024-09-09, FR</w:t>
      </w:r>
    </w:p>
    <w:p>
      <w:r>
        <w:rPr>
          <w:b/>
        </w:rPr>
        <w:t xml:space="preserve">Quelle: </w:t>
      </w:r>
      <w:r>
        <w:t>https://mcp.opencaselaw.ch/entscheid/ge_gerichte_JTAPI_903_2024</w:t>
      </w:r>
    </w:p>
    <w:p>
      <w:r>
        <w:t>FR: GE_GERICHTE JTAPI/903/2024 du 9 septembre 2024</w:t>
      </w:r>
    </w:p>
    <w:p>
      <w:r>
        <w:t>IT: GE_GERICHTE JTAPI/903/2024 del 9 settembre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Préalablement, il convient de rappeler qu’en matière de réclamation, lorsque - comme en l’espèce - la décision sur réclamation est une décision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2C_930/2018 du 25 octobre 2018 consid. 3 ; 2C_543/2017 du 1er février 2018 consid. 1.2).</w:t>
      </w:r>
    </w:p>
    <w:p>
      <w:r>
        <w:rPr>
          <w:b/>
        </w:rPr>
        <w:t>E. 3.2</w:t>
      </w:r>
    </w:p>
    <w:p>
      <w:r>
        <w:t>et les références citées). Le strict respect des délais légaux se justifie pour des raisons d’égalité de traitement et n’est pas constitutif de formalisme excessif (ATF 142 V 152 consid. 4.2 in fine).</w:t>
      </w:r>
    </w:p>
    <w:p>
      <w:r>
        <w:rPr>
          <w:b/>
        </w:rPr>
        <w:t>E. 4</w:t>
      </w:r>
    </w:p>
    <w:p>
      <w:r>
        <w:t>Les longs développements que consacre l’Avocate de la recourante aux circonstances de sa constitution, son activité et son éventuelle exonération sont dès lors dénués de toute pertinence et ne seront pas examinés plus avant.</w:t>
      </w:r>
    </w:p>
    <w:p>
      <w:r>
        <w:rPr>
          <w:b/>
        </w:rPr>
        <w:t>E. 5</w:t>
      </w:r>
    </w:p>
    <w:p>
      <w:r>
        <w:t>A teneur des art. 132 al. 1 LIFD et 39 al. 1 LPFisc,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133 al. 1 LIFD et 41 al. 1 LPFisc). Les délais fixés par la loi sont des dispositions impératives de droit public. Ils ne sont en principe pas susceptibles d’être prolongés, restitués ou suspendus, si ce n’est par le législateur lui-même (art. 119 al. 1 LIFD et 21 al. 1 LPFisc). Ainsi, celui qui n’agit pas dans le délai prescrit est forclos (ATA/599/2023 du 6 juin 2023 consid.</w:t>
      </w:r>
    </w:p>
    <w:p>
      <w:r>
        <w:rPr>
          <w:b/>
        </w:rPr>
        <w:t>E. 6</w:t>
      </w:r>
    </w:p>
    <w:p>
      <w:r>
        <w:t>En l’espèce, l’AFC-GE allègue avoir expédié les bordereaux litigieux en annexe à son courrier daté du 16 mai 2023 et posté sous pli recommandé du 30 mai 2023, notifié le lendemain. De son côté, la recourante conteste avoir reçu ces bordereaux.</w:t>
      </w:r>
    </w:p>
    <w:p>
      <w:r>
        <w:t>- 5/7 - A/4032/2023</w:t>
      </w:r>
    </w:p>
    <w:p>
      <w:r>
        <w:rPr>
          <w:b/>
        </w:rPr>
        <w:t>E. 7</w:t>
      </w:r>
    </w:p>
    <w:p>
      <w:r>
        <w:t>Le tribunal relève en premier lieu que le courrier de sa fiduciaire du 31 mai 2023, adressé au Service des personnes morales de l’AFC-GE se réfère précisément à une décision du Service du contrôle reçue le même jour, ce qui démontre bien qu’elle a reçu le courrier précité. Rien dans ce courrier ne permet de comprendre que les bordereaux énumérés dans l’avis de clôture des procédures de rappels d’impôts n’étaient pas annexés à l’envoi de l’AFC-GE. Les termes utilisés selon lesquels la décision « répond à nos questions » laissent clairement comprendre le contraire.</w:t>
      </w:r>
    </w:p>
    <w:p>
      <w:r>
        <w:rPr>
          <w:b/>
        </w:rPr>
        <w:t>E. 8</w:t>
      </w:r>
    </w:p>
    <w:p>
      <w:r>
        <w:t>La photographie partielle de l’enveloppe produite sous pièce 18 par l’AFC-GE ne permet pas de retenir que celle-ci est de format C5. Elle apparaît au contraire comme coupée et de format C4, ce qui permettait de contenir les bordereaux de plusieurs années, contrairement à ce que soutient la recourante. Au reste, celle-ci n’a pas produit l’original de l’enveloppe qui est en sa possession et qui aurait permis de le démontrer.</w:t>
      </w:r>
    </w:p>
    <w:p>
      <w:r>
        <w:rPr>
          <w:b/>
        </w:rPr>
        <w:t>E. 9</w:t>
      </w:r>
    </w:p>
    <w:p>
      <w:r>
        <w:t>Cette même copie fait ressortir, dans la fenêtre réservée à l’expéditeur, qu’il s’agit de l’envoi du Service du contrôle et non pas du Service de la taxation contenant les bordereaux des périodes ultérieures. De plus, le courrier précité de la fiduciaire de la recourante du 31 mai 2023 démontre clairement qu’elle avait reçu deux envois distincts, le premier du Service des personnes morales, qui a fait l’objet de la réclamation du 30 mai 2023, et le deuxième du Service du contrôle, reçu le 31 mai 2023.</w:t>
      </w:r>
    </w:p>
    <w:p>
      <w:r>
        <w:rPr>
          <w:b/>
        </w:rPr>
        <w:t>E. 10</w:t>
      </w:r>
    </w:p>
    <w:p>
      <w:r>
        <w:t>Enfin, et conformément au principe de la bonne foi, cette mandataire aurait dû immédiatement contacter le Service du contrôle de l’AFC-GE si des annexes énumérées dans son courrier précité daté du 16 mai 2023 étaient manquantes. Ne l’ayant pas fait, il doit être retenu que la notification des bordereaux litigieux a bien eu lieu.</w:t>
      </w:r>
    </w:p>
    <w:p>
      <w:r>
        <w:rPr>
          <w:b/>
        </w:rPr>
        <w:t>E. 11</w:t>
      </w:r>
    </w:p>
    <w:p>
      <w:r>
        <w:t>La réclamation formée contre ceux-ci par un courrier du 25 juillet 2023 seulement est dès lors manifestement tardive.</w:t>
      </w:r>
    </w:p>
    <w:p>
      <w:r>
        <w:rPr>
          <w:b/>
        </w:rPr>
        <w:t>E. 12</w:t>
      </w:r>
    </w:p>
    <w:p>
      <w:r>
        <w:t>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 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w:t>
      </w:r>
    </w:p>
    <w:p>
      <w:r>
        <w:t>- 6/7 - A/4032/2023 Les cas de force majeure sont également réservés. Tombent sous cette notion les événements extraordinaires et imprévisibles qui surviennent en dehors de la sphère d’activité de l’intéressé et qui s’imposent à lui de façon irrésistible (ATA/599/2023 du 6 juin 2023 consid. 3.3 et les références citées). Pour établir l’existence d’un cas de force majeure, le fardeau de la preuve incombe à l’assujetti (ATA/815/2022 du</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Le solde de cette avance lui sera restitué. Vu l’issue du litige, aucune indemnité de procédure ne sera allouée (art. 87 al. 2 LPA).</w:t>
      </w:r>
    </w:p>
    <w:p>
      <w:r>
        <w:t>- 7/7 - A/4032/2023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