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JTAPI/903/2022 vom 5. September 2022</w:t>
      </w:r>
    </w:p>
    <w:p>
      <w:r>
        <w:t>GE Cour de justice, 2022-09-05, FR</w:t>
      </w:r>
    </w:p>
    <w:p>
      <w:r>
        <w:rPr>
          <w:b/>
        </w:rPr>
        <w:t xml:space="preserve">Quelle: </w:t>
      </w:r>
      <w:r>
        <w:t>https://mcp.opencaselaw.ch/entscheid/ge_gerichte_JTAPI_903_2022</w:t>
      </w:r>
    </w:p>
    <w:p>
      <w:r>
        <w:t>FR: GE_GERICHTE JTAPI/903/2022 du 5 septembre 2022</w:t>
      </w:r>
    </w:p>
    <w:p>
      <w:r>
        <w:t>IT: GE_GERICHTE JTAPI/903/2022 del 5 settembre 2022</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a sollicité un transport sur place.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w:t>
      </w:r>
    </w:p>
    <w:p>
      <w:r>
        <w:t>- 10/16 - A/909/2022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w:t>
      </w:r>
    </w:p>
    <w:p>
      <w:r>
        <w:rPr>
          <w:b/>
        </w:rPr>
        <w:t>E. 5</w:t>
      </w:r>
    </w:p>
    <w:p>
      <w:r>
        <w:t>Par ailleurs, le droit d'être entendu ne comprend pas celui d'être entendu oralement (cf.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ni à la tenue d'une inspection locale, en l'absence d'une disposition cantonale qui imposerait une telle mesure d'instruction, ce qui n'est pas le cas à Genève (ATF 120 Ib 224 consid. 2b ; 112 Ia 198 consid. 2b ; arrêts du Tribunal fédéral 1C_243/2013 du 27 septembre 2013 consid. 3.2.1).</w:t>
      </w:r>
    </w:p>
    <w:p>
      <w:r>
        <w:rPr>
          <w:b/>
        </w:rPr>
        <w:t>E. 6</w:t>
      </w:r>
    </w:p>
    <w:p>
      <w:r>
        <w:t>En l'espèce, la recourante, qui a eu l'occasion de s'exprimer par écrit à plusieurs reprises durant la procédure, a déjà exposé les motifs à l'appui de son recours. Elle a par ailleurs produit toutes les pièces qu'elle estimait utiles, notamment des photographies de la parcelle prises à différentes périodes, à l'appui de ses allégués. De plus, le dossier comporte tous les éléments nécessaires et suffisants permettant au tribunal de statuer sur le recours, de sorte qu'il n'y a pas lieu de donner suite à la requête de la recourante tendant à l'organisation d'un transport sur place. Cet acte d'instruction, en soi non obligatoire, n'apparaît pas nécessaire pour trancher le litige, ce d’autant qu’il ne permettrait que de constater l’état de la parcelle à la date du transport sur place.</w:t>
      </w:r>
    </w:p>
    <w:p>
      <w:r>
        <w:rPr>
          <w:b/>
        </w:rPr>
        <w:t>E. 7</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w:t>
      </w:r>
    </w:p>
    <w:p>
      <w:r>
        <w:t>- 11/16 - A/909/2022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ATA/376/2016 du 3 mai 2016 consid. 2b et les références citées).</w:t>
      </w:r>
    </w:p>
    <w:p>
      <w:r>
        <w:rPr>
          <w:b/>
        </w:rPr>
        <w:t>E. 8</w:t>
      </w:r>
    </w:p>
    <w:p>
      <w:r>
        <w:t>En l’espèce, l'objet du litige est l'amende de CHF 8'000.- prononcée le 18 février 2022, prise en application de l'art. 137 al. 1 let. c LCI. Cette amende a été infligée au seul motif que la recourante ne s'était pas entièrement soumise à l'ordre donné le 5 novembre 2021. Ce dernier consistait à obliger la recourante à prendre rendez-vous, dans un délai de 30 jours, avec le signataire de cet ordre, afin de réaliser un contrôle in situ et de vérifier ainsi la bonne exécution de l'ordre déjà donné le 1er octobre 2020. Le présent litige consiste donc à déterminer si la recourante a satisfait ou non à ses obligations découlant de l'ordre du 5 novembre 2021 et, en cas d'infraction, à vérifier si l'amende respecte les principes applicables en matière pénale. Partant, le tribunal n'entrera pas en matière sur les développements de la recourante qui excèdent le cadre du litige tel qu'il vient d'être rappelé, soit notamment ceux en lien avec les bâtiments n° 750 et n° 751 qui se trouvent sur la parcelle.</w:t>
      </w:r>
    </w:p>
    <w:p>
      <w:r>
        <w:rPr>
          <w:b/>
        </w:rPr>
        <w:t>E. 9</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10</w:t>
      </w:r>
    </w:p>
    <w:p>
      <w:r>
        <w:t>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w:t>
      </w:r>
    </w:p>
    <w:p>
      <w:r>
        <w:t>- 12/16 - A/909/2022 individuelle répondant solidairement des amendes. Les sanctions sont applicables directement aux sociétés ou entreprises précitées lorsqu'il n'apparaît pas de prime abord quelles sont les personnes responsables (art. 137 al. 4 LCI). La poursuite et la sanction administrative se prescrivent par sept ans (art. 137 al. 5 LCI).</w:t>
      </w:r>
    </w:p>
    <w:p>
      <w:r>
        <w:rPr>
          <w:b/>
        </w:rPr>
        <w:t>E. 11</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(Bernard CORBOZ, Les principales infractions, Berne 1997, p. 360). De plus, la sanction de l'insoumission peut être augmentée chaque fois qu'une menace de l'appliquer est restée sans effet (Blaise KNAPP, Précis de droit administratif, 3ème éd., 1991, n. 1721 et les références citées) (ATA/147/2014 du 11 mars 2014).</w:t>
      </w:r>
    </w:p>
    <w:p>
      <w:r>
        <w:rPr>
          <w:b/>
        </w:rPr>
        <w:t>E. 12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(ATA/422/2020 du 30 avril 2020 ; ATA/440/2019 du 16 avril 2019 ; ATA/313/2017 du 21 mars 2017 ; ATA/263/2016 du 22 mars 2016).</w:t>
      </w:r>
    </w:p>
    <w:p>
      <w:r>
        <w:rPr>
          <w:b/>
        </w:rPr>
        <w:t>E. 13</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ATA/422/2020 précité ; ATA/440/2019 précité ATA/313/2017 précité).</w:t>
      </w:r>
    </w:p>
    <w:p>
      <w:r>
        <w:rPr>
          <w:b/>
        </w:rPr>
        <w:t>E. 14</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recours ne la censure qu'en cas d'excès ou d'abus. Enfin, l'amende doit respecter le principe de la proportionnalité (art. 36 al. 3 Cst. ; ATA/422/2020 précité ; ATA/440/2019 précité et les références citées).</w:t>
      </w:r>
    </w:p>
    <w:p>
      <w:r>
        <w:t>- 13/16 - A/909/2022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 ATA/319/2017 du 21 mars 2017 consid. 3d).</w:t>
      </w:r>
    </w:p>
    <w:p>
      <w:r>
        <w:rPr>
          <w:b/>
        </w:rPr>
        <w:t>E. 15</w:t>
      </w:r>
    </w:p>
    <w:p>
      <w:r>
        <w:t>S'agissant de la quotité de l'amende, la jurisprudence de la chambre administrative précise que le département jouit d'un large pouvoir d'appréciation pour en fixer le montant. L’autorité de recours ne la censure qu'en cas d'excès. Sont prises en considération la nature, la gravité et la fréquence des infractions commises dans le respect du principe de proportionnalité (ATA/422/2020 précité ; ATA/440/2019 précité ; ATA/19/2018 du 9 janvier 2018 confirmé par arrêt du Tribunal fédéral 1C_80/2018 du 23 mai 2019 ; ATA/558/2013 du 27 août 2013).</w:t>
      </w:r>
    </w:p>
    <w:p>
      <w:r>
        <w:rPr>
          <w:b/>
        </w:rPr>
        <w:t>E. 16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ATA/220/2019 du 5 mars 2019 consid. 3e).</w:t>
      </w:r>
    </w:p>
    <w:p>
      <w:r>
        <w:rPr>
          <w:b/>
        </w:rPr>
        <w:t>E. 17</w:t>
      </w:r>
    </w:p>
    <w:p>
      <w:r>
        <w:t>En l’espèce, suite à l'ordre donné à la recourante le 5 novembre 2021, un rendez- vous sur place a été organisé et a eu lieu le 17 novembre 2021. Bien que le dossier à disposition du tribunal ne contienne aucun procès-verbal ou autre trace documentant ce rendez-vous, son existence n'est pas remise en cause par la recourante, ni le constat qui a alors été effectué au sujet du fait que la parcelle en question n'avait toujours pas été entièrement remise en état. La recourante admet d'ailleurs dans la présente procédure qu'il restait encore à évacuer un tas de palettes et quelques matériaux. La recourante ne démontre en revanche pas, et ne le soutient pas non plus, qu'à la suite du rendez-vous du 17 novembre 2021, elle aurait cherché à organiser, dans le délai de 30 jours imparti par l'ordre du 5 novembre 2021, un nouveau rendez-vous sur place afin d'établir une fois pour toutes la remise en état de la parcelle. La recourante a ainsi clairement contrevenu à l'ordre précis qui lui avait été donné le 5 novembre 2021 et a de la sorte réalisé l'infraction visée par l'art. 137 al. 1 let. c LCI. Dans cette mesure, le fait que la recourante a par la suite adressé un reportage photographique au département, afin de démontrer la bonne exécution</w:t>
      </w:r>
    </w:p>
    <w:p>
      <w:r>
        <w:t>- 14/16 - A/909/2022 de l’ordre de remise en état, n’est d’aucune pertinence par rapport à l'infraction consistant dans le fait de s'être soustrait à l'obligation d'organiser un nouveau contrôle sur place. Le tribunal relèvera d'ailleurs que le fait d'avoir à nouveau envoyé des photographies à l'autorité intimée plutôt que d'organiser ce rendez-vous n'est que la continuation du comportement adopté par la recourante depuis plusieurs années, qui consiste à louvoyer en se fondant sur des photographies imprécises ou incomplètes (comme elle l'a encore fait par le reportage photographique adressé à l'autorité intimée le 21 septembre 2021), ou en insistant, comme dans la présente procédure, sur le soi-disant manque de clarté de l’ordre de remise en état qui aurait, selon elle, également été constaté par le tribunal dans son jugement JTAPI/1______ du 22 avril 2021, alors qu'au contraire, le tribunal a souligné que les indications transmises à la recourante étaient claires et qu'il appartenait à cette dernière, si elle avait un doute, de se renseigner auprès du département. Au demeurant, le tribunal relève que les photographies prises sous la neige, sur lesquelles se fonde la recourante pour soutenir dans la présente procédure que la remise en état de la parcelle serait désormais achevée, semblent malgré tout montrer l'entreposage de matériaux qui n'ont rien à faire en zone agricole, en particulier s'agissant de divers objets et matériaux se rapportant vraisemblablement à des chantiers.</w:t>
      </w:r>
    </w:p>
    <w:p>
      <w:r>
        <w:rPr>
          <w:b/>
        </w:rPr>
        <w:t>E. 18</w:t>
      </w:r>
    </w:p>
    <w:p>
      <w:r>
        <w:t>Concernant le montant de l’amende, force est de constater que les précédentes sanctions n’ont pas eu l’effet escompté. Il s’agit en effet de la huitième amende infligée à la recourante depuis le 9 mai 2011 et, en dépit des décisions, des jugements et des sanctions prises à son encontre au cours des dix dernières années, la recourante persiste à se montrer réfractaire à une collaboration pleine et entière. Par ailleurs, comme l’a justement relevé le département, la recourante a disposé d’un important laps de temps de dix ans pour s’exécuter et l’infraction a été commise en zone agricole. Étant donné l'avertissement contenu dans le jugement JTAPI/1______ du 22 avril 2021, qui qualifiait de clémente l'amende de CHF 5'000.- infligée à la recourante le 1er octobre 2020, l'amende de CHF 8'000.- prononcée en l'espèce ne saurait être réduite sans risque que la recourante continue à sous-estimer les obligations auxquelles elle est soumise. Le montant de l'amende devra ainsi être confirmé.</w:t>
      </w:r>
    </w:p>
    <w:p>
      <w:r>
        <w:rPr>
          <w:b/>
        </w:rPr>
        <w:t>E. 19</w:t>
      </w:r>
    </w:p>
    <w:p>
      <w:r>
        <w:t>Comme déjà exprimé à réitérées reprises, il convient d'attirer expressément l'attention de la recourante sur son obligation de collaboration avec l'autorité intimée et sur le fait que les irrégularités qui, au-delà des éléments visés dans la présente cause, subsisteraient encore sur la parcelle, peuvent faire l'objet de nouvelles décisions de remise en état et cas échéant de sanctions.</w:t>
      </w:r>
    </w:p>
    <w:p>
      <w:r>
        <w:rPr>
          <w:b/>
        </w:rPr>
        <w:t>E. 20</w:t>
      </w:r>
    </w:p>
    <w:p>
      <w:r>
        <w:t>Compte tenu de ce qui précède, le recours sera rejeté et la décision litigieuse confirmée.</w:t>
      </w:r>
    </w:p>
    <w:p>
      <w:r>
        <w:t>- 15/16 - A/909/2022</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 du dépôt du recours. Vu l'issue du litige, aucune indemnité de procédure ne sera allouée (art. 87 al. 2 LPA).</w:t>
      </w:r>
    </w:p>
    <w:p>
      <w:r>
        <w:t>- 16/16 - A/909/2022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