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JTAPI/900/2022 vom 26. August 2022</w:t>
      </w:r>
    </w:p>
    <w:p>
      <w:r>
        <w:t>GE Cour de justice, 2022-08-26, FR</w:t>
      </w:r>
    </w:p>
    <w:p>
      <w:r>
        <w:rPr>
          <w:b/>
        </w:rPr>
        <w:t xml:space="preserve">Quelle: </w:t>
      </w:r>
      <w:r>
        <w:t>https://mcp.opencaselaw.ch/entscheid/ge_gerichte_JTAPI_900_2022</w:t>
      </w:r>
    </w:p>
    <w:p>
      <w:r>
        <w:t>FR: GE_GERICHTE JTAPI/900/2022 du 26 août 2022</w:t>
      </w:r>
    </w:p>
    <w:p>
      <w:r>
        <w:t>IT: GE_GERICHTE JTAPI/900/2022 del 26 agosto 2022</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t>- 8/12 - A/2762/2022</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t>- 9/12 - A/2762/2022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face aux déclarations contradictoires des époux, on ne parvient pas à déterminer ce qui s'est réellement passé au domicile de ces derniers le 19 août 2022, en mars 2022 ainsi qu'au cours des mois, voire des années qui ont précédé cette date. Une procédure pénale est d'ailleurs en cours à cet égard. Selon la demanderesse, les violences physiques auraient déjà fait leur apparition au sein du couple à la naissance de leur troisième enfant en 2009.</w:t>
      </w:r>
    </w:p>
    <w:p>
      <w:r>
        <w:t>Quant à M. B______ quand bien même il minimise la situation et conteste toute violence de sa part, il reconnait de fréquentes disputes avec sa femme depuis plusieurs années, et également l'avoir poussée et fait tomber sur le canapé et l'avoir saisie par les bras. Concernant la dispute du 22 mars 2022, avec sa fille D______, il a admis l'avoir giflée, devant la police puis devant le tribunal, avant de se rétracter sur ce point. En outre, la description qu'il a faite de la scène lors de son audition par la police, révèle une violence certaine, même s'il l'impute exclusivement à sa fille. De plus, la version défendue par M. B______ selon lequel tout irait bien dans le couple ne résiste pas aux déclarations tout à fait opposées de son épouse. En effet, on ne saurait qualifier de bonne la situation d'un couple dans laquelle l'un des partenaires déclare subir des violences physiques depuis de nombreuses années, craindre son conjoint et en arriver à souhaiter la séparation. Manifestement, M. B______ est dans le déni de la crise que vit son couple et il n'est dès lors pas possible de faire autrement que de retenir qu'il est également dans le déni de la menace qu'il représente aux yeux de son épouse. A ce sujet, le tribunal relèvera que M. B______ n'a pas totalement respecté la mesure d'éloignement, en ne prenant pas rendez-vous avec une institution habilitée à recevoir les auteurs présumés de violence domestique pour un entretien socio-thérapeutique et juridique tel qu'ordonné dans la mesure du 26 août 2022.</w:t>
      </w:r>
    </w:p>
    <w:p>
      <w:r>
        <w:t>À partir de là, il est indéniable qu'une forte tension s'est installée au sein du couple depuis plusieurs mois si ce n'est depuis des années, qui se traduit également par le fait que désormais la demanderesse entend entamer une procédure de séparation, voire de divorce et que M. B______ envisage de trouver un nouveau logement. La situation n'a guère évolué depuis le prononcé de la mesure litigieuse. L'écoulement d'une dizaine de jours depuis la survenance des derniers actes de violence ne suffit pas pour écarter le risque que de nouveaux actes, quelle que soit</w:t>
      </w:r>
    </w:p>
    <w:p>
      <w:r>
        <w:t>- 10/12 - A/2762/2022 leur nature, se reproduisent, si les époux devaient se retrouver sous le même toit dès le 5 septembre 2022. Cette éventualité apparaît toujours suffisamment réelle et concrète pour justifier que ceux-ci demeurent éloignés pendant un temps encore, ce qui, sur le principe, tend à admettre le bien-fondé de la demande formulée par Mme A______.</w:t>
      </w:r>
    </w:p>
    <w:p>
      <w:r>
        <w:t>À toutes fins utiles, il sera rappelé que la mesure d'éloignement a pour objectif d'empêcher la réitération d'actes de violence, mais non de permettre aux personnes concernées de s'organiser pour modifier le cadre et les modalités de leur relation personnelle. S'agissant des enfants du couple, il est pris note que Mme A______ n'a pas d'objection sur le principe que son mari entretienne des relations personnelles avec E______ et F______ hors du domicile familial, mais pas avec D______. Il appartiendra donc aux intéressés, par l'intermédiaire de leurs avocats ou avec l'aide de tiers, de convenir des modalités d'éventuels contacts et/ou visites, lesquelles échappent à la compétence et au pouvoir d'intervention du tribunal. En conclusion, le tribunal prolongera la mesure d'éloignement pour une durée de trente jours. Elle le sera sous la menace de l'art. 292 CP, dont la teneur figure ci- dessus. Elle prendra donc fin le 5 octobre 2022 à 19h00.</w:t>
      </w:r>
    </w:p>
    <w:p>
      <w:r>
        <w:t>Il sera ainsi toujours interdit à M. B______ de contacter et de s'approcher de son épouse et de D______ jusqu'à cette date, ainsi que de s'approcher et de pénétrer au domicile de la famille. Si cette prolongation, qui apparaît utile, nécessaire et opportune, comporte à l'évidence des désagréments pour celui-ci, en particulier le fait qu'il soit contraint de trouver des solutions d'hébergement précaires, l'atteinte à sa liberté personnelle en résultant demeure acceptable, étant observé qu'aucune autre mesure moins incisive ne serait envisageable pour atteindre le but fixé par la LVD (cf. ATA/619/2020 du 23 juin 2020 consid. 9 ; ATA/527/2020 du 26 mai 2020 consid. 10). Par ailleurs, il sera souligné que ce dernier a toujours l'obligation de prendre contact et de convenir d'un entretien avec l'association VIRES, institution habilitée à recevoir les auteurs présumés de violence domestique, dont les coordonnées lui ont été dûment communiquées par le commissaire de police lors de la notification de la mesure (art. 10 LVD). De plus, il sera rappelé que le défendeur pourra, cas échéant, venir chercher dans l'appartement conjugal, ses effets personnels, à une date préalablement convenue par les parties par l'intermédiaire de l'avocat de Mme A______ et accompagné de la police.</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- 11/12 - A/2762/2022</w:t>
      </w:r>
    </w:p>
    <w:p>
      <w:r>
        <w:t>- 12/12 - A/2762/2022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