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JTAPI/8/2024 vom 8. Januar 2024</w:t>
      </w:r>
    </w:p>
    <w:p>
      <w:r>
        <w:t>GE Cour de justice, 2024-01-08, FR</w:t>
      </w:r>
    </w:p>
    <w:p>
      <w:r>
        <w:rPr>
          <w:b/>
        </w:rPr>
        <w:t xml:space="preserve">Quelle: </w:t>
      </w:r>
      <w:r>
        <w:t>https://mcp.opencaselaw.ch/entscheid/ge_gerichte_JTAPI_8_2024</w:t>
      </w:r>
    </w:p>
    <w:p>
      <w:r>
        <w:t>FR: GE_GERICHTE JTAPI/8/2024 du 8 janvier 2024</w:t>
      </w:r>
    </w:p>
    <w:p>
      <w:r>
        <w:t>IT: GE_GERICHTE JTAPI/8/2024 del 8 gennaio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4 janvier 2024 à 16h15.</w:t>
      </w:r>
    </w:p>
    <w:p>
      <w:r>
        <w:rPr>
          <w:b/>
        </w:rPr>
        <w:t>E. 3</w:t>
      </w:r>
    </w:p>
    <w:p>
      <w:r>
        <w:t>À teneur de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w:t>
      </w:r>
    </w:p>
    <w:p>
      <w:r>
        <w:rPr>
          <w:b/>
        </w:rPr>
        <w:t>E. 4</w:t>
      </w:r>
    </w:p>
    <w:p>
      <w:r>
        <w:t>Selon l'art. 76 al. 1 let. b LEI, lorsqu'une décision de renvoi ou d'expulsion a été notifiée, l'autorité compétente peut, afin d'en assurer l'exécution, placer la personne concernée en détention administrative lorsqu'elle menace sérieusement d'autre personnes ou met gravement en danger leur vie ou leur intégrité corporelle et fait l'objet d'une poursuite pénale ou a été condamnée pour ce motif (ch. 1 en liaison avec l'art. 75 al. 1 let. g et h).</w:t>
      </w:r>
    </w:p>
    <w:p>
      <w:r>
        <w:rPr>
          <w:b/>
        </w:rPr>
        <w:t>E. 5</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6</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w:t>
      </w:r>
    </w:p>
    <w:p>
      <w:r>
        <w:t>- 5/9 - A/24/2024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w:t>
      </w:r>
    </w:p>
    <w:p>
      <w:r>
        <w:rPr>
          <w:b/>
        </w:rPr>
        <w:t>E. 7</w:t>
      </w:r>
    </w:p>
    <w:p>
      <w:r>
        <w:t>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 26 août 2004 consid. 3.1 in fine ; 2A.35/2000 du 10 février 2000 consid. 2b/bb; 2A.450/1995 du 3 novembre 1995 consid. 3b).</w:t>
      </w:r>
    </w:p>
    <w:p>
      <w:r>
        <w:rPr>
          <w:b/>
        </w:rPr>
        <w:t>E. 8</w:t>
      </w:r>
    </w:p>
    <w:p>
      <w:r>
        <w:t>Il en découle qu'un petit dealer condamné une fois pour trafic d'une faible quantité de drogue dure peut parfaitement tomber sous le coup de l'art. 75 al. 1 let. g LEI, indépendamment du fait qu'il ne remplit pas les conditions figurant à l'art. 19 al. 2 LStup, lorsque les circonstances dénotent un risque qu'il continue son trafic. Partant, le fait que l'intéressé ait été en possession d'une quantité en elle-même insuffisante, selon la jurisprudence (cf. ATF 109 IV 143 consid. 3b) à entraîner l'application de l'art. 19 al. 2 let. a LStup n'est pas pertinent, étant relevé que cette disposition pénale suppose une mise en danger de la santé de nombreuses personnes, alors que l'art. 75 al. 1 let. g LEI met l'accent sur la gravité de la mise en danger et non sur le nombre de personnes susceptibles d'être touchées (arrêt du Tribunal fédéral 2C_293/2012 du 18 avril 2012 consid. 4.3).</w:t>
      </w:r>
    </w:p>
    <w:p>
      <w:r>
        <w:rPr>
          <w:b/>
        </w:rPr>
        <w:t>E. 9</w:t>
      </w:r>
    </w:p>
    <w:p>
      <w:r>
        <w:t>Dans cette mesure, le Tribunal fédéral a jugé que la position de la chambre administrative de Cour de justice, qui se fondait sur sa jurisprudence selon laquelle le seul fait que l'intéressé ait été condamné pénalement pour trafic de cocaïne, soit</w:t>
      </w:r>
    </w:p>
    <w:p>
      <w:r>
        <w:t>- 6/9 - A/24/2024 une drogue "dure", justifiait l'application de l'art. 75 al. 1 let. g LEI, ne pouvait être suivie. Il ressortait des principes exposés ci-dessus qu'en présence d'un petit dealer n'ayant été condamné qu'une fois pour un trafic d'une faible quantité de stupéfiants (même de drogues dures), il convenait d'examiner l'ensemble des circonstances, afin de former un pronostic sur le risque de réitération. Ce n'était qu'en présence d'indices concrets en ce sens que l'on pouvait retenir pour l'avenir une grave mise en danger de la vie ou de l'intégrité d'autres personnes, ce qui était la condition à une mise en détention en phase préparatoire au sens de l'art. 75 al. 1 let. g LEI (arrêt du Tribunal fédéral 2C_293/2012 du 18 avril 2012 consid. 4.5).</w:t>
      </w:r>
    </w:p>
    <w:p>
      <w:r>
        <w:rPr>
          <w:b/>
        </w:rPr>
        <w:t>E. 10</w:t>
      </w:r>
    </w:p>
    <w:p>
      <w:r>
        <w:t>Enfin, 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11</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12</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13</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 dire lorsque les conditions seront réunies ; dans ce cadre, il dispose d'une certaine marge d'appréciation (arrêts du Tribunal fédéral 2C_935/2011 du 7 décembre 2011 consid. 3.3 ; 2C_806/2010 du 21 octobre 2010 consid. 2.1 ; 2C_400/2009 du</w:t>
      </w:r>
    </w:p>
    <w:p>
      <w:r>
        <w:rPr>
          <w:b/>
        </w:rPr>
        <w:t>E. 16</w:t>
      </w:r>
    </w:p>
    <w:p>
      <w:r>
        <w:t>Le principe de la proportionnalité, garanti par l'art. 36 Cst., se compose des règles d'aptitude - qui exige que le moyen choisi soit propre à atteindre le but fixé -, de</w:t>
      </w:r>
    </w:p>
    <w:p>
      <w:r>
        <w:t>- 8/9 - A/24/2024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17</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18</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19</w:t>
      </w:r>
    </w:p>
    <w:p>
      <w:r>
        <w:t>En l'espèce, seule une détention est à même d'assurer l'exécution du renvoi de M. A______ à destination de l'Espagne, toute mesure moins incisive, y compris l'obligation de se présenter quotidiennement à un poste de police local, apparaissant d'emblée vaine.</w:t>
      </w:r>
    </w:p>
    <w:p>
      <w:r>
        <w:rPr>
          <w:b/>
        </w:rPr>
        <w:t>E. 20</w:t>
      </w:r>
    </w:p>
    <w:p>
      <w:r>
        <w:t>Il existe en outre un intérêt public certain à exécuter le renvoi de l'intéressé, lequel surpasse son intérêt privé à demeurer en liberté.</w:t>
      </w:r>
    </w:p>
    <w:p>
      <w:r>
        <w:rPr>
          <w:b/>
        </w:rPr>
        <w:t>E. 21</w:t>
      </w:r>
    </w:p>
    <w:p>
      <w:r>
        <w:t>Par ailleurs, les autorités compétentes ont agi avec diligence, entreprenant immédiatement les démarches en vue de son retour en Espagne.</w:t>
      </w:r>
    </w:p>
    <w:p>
      <w:r>
        <w:rPr>
          <w:b/>
        </w:rPr>
        <w:t>E. 22</w:t>
      </w:r>
    </w:p>
    <w:p>
      <w:r>
        <w:t>Quant à la durée de la détention prévue par la décision litigieuse, soit un mois, elle n'apparaît pas d'emblée disproportionnée.</w:t>
      </w:r>
    </w:p>
    <w:p>
      <w:r>
        <w:rPr>
          <w:b/>
        </w:rPr>
        <w:t>E. 23</w:t>
      </w:r>
    </w:p>
    <w:p>
      <w:r>
        <w:t>Au vu de ce qui précède, il y a lieu de confirmer l'ordre de mise en détention administrative de M. A______ pour une durée d’un mois.</w:t>
      </w:r>
    </w:p>
    <w:p>
      <w:r>
        <w:rPr>
          <w:b/>
        </w:rPr>
        <w:t>E. 24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