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JTAPI/897/2021 vom 23. Dezember 2020</w:t>
      </w:r>
    </w:p>
    <w:p>
      <w:r>
        <w:t>GE Cour de justice, 2020-12-23, FR</w:t>
      </w:r>
    </w:p>
    <w:p>
      <w:r>
        <w:rPr>
          <w:b/>
        </w:rPr>
        <w:t xml:space="preserve">Quelle: </w:t>
      </w:r>
      <w:r>
        <w:t>https://mcp.opencaselaw.ch/entscheid/ge_gerichte_JTAPI_897_2021</w:t>
      </w:r>
    </w:p>
    <w:p>
      <w:r>
        <w:t>FR: GE_GERICHTE JTAPI/897/2021 du 23 décembre 2020</w:t>
      </w:r>
    </w:p>
    <w:p>
      <w:r>
        <w:t>IT: GE_GERICHTE JTAPI/897/2021 del 23 dicembre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- 4/8 - A/510/2021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w:t>
      </w:r>
    </w:p>
    <w:p>
      <w:r>
        <w:rPr>
          <w:b/>
        </w:rPr>
        <w:t>E. 9</w:t>
      </w:r>
    </w:p>
    <w:p>
      <w:r>
        <w:t>février 2016 consid. 2 ; ATA/723/2015 du 14 juillet 2015 consid. 4a).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6.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circulaires du secrétariat d'État aux migrations, domaine des étrangers, état au 1er janvier 2021, ch. 1.2.3.2). 7.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ATA/311/2019 du 26 mars 2019 ; ATA/1364/2018 du 18 décembre 2018 consid. 4b ; ATA/421/2017 du 11 avril 2017 consid. 5). La contestation ne peut excéder l'objet de la décision attaquée, c'est-à-dire les prétentions ou les rapports juridiques sur lesquels l'autorité inférieure s'est prononcée ou aurait dû se prononcer (ATA/1364/2018 du 18 décembre 2018 consid. 4b ; ATA/421/2017 du</w:t>
      </w:r>
    </w:p>
    <w:p>
      <w:r>
        <w:t>- 5/8 - A/510/2021</w:t>
      </w:r>
    </w:p>
    <w:p>
      <w:r>
        <w:rPr>
          <w:b/>
        </w:rPr>
        <w:t>E. 11</w:t>
      </w:r>
    </w:p>
    <w:p>
      <w:r>
        <w:t>L’OCPM étant ainsi lié par la décision de l’OCIRT, c’est à bon droit qu’il a refusé l’octroi de l’autorisation de séjour et de travail. La décision sera dès lors confirmée sur ce point.</w:t>
      </w:r>
    </w:p>
    <w:p>
      <w:r>
        <w:rPr>
          <w:b/>
        </w:rPr>
        <w:t>E. 12</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w:t>
      </w:r>
    </w:p>
    <w:p>
      <w:r>
        <w:rPr>
          <w:b/>
        </w:rPr>
        <w:t>E. 13</w:t>
      </w:r>
    </w:p>
    <w:p>
      <w:r>
        <w:t>Elle ne dispose à ce titre d'aucun pouvoir d'appréciation, le renvoi constituant la conséquence logique et inéluctable du rejet d'une demande d'autorisation (arrêts</w:t>
      </w:r>
    </w:p>
    <w:p>
      <w:r>
        <w:t>- 6/8 - A/510/2021 du Tribunal administratif fédéral C-5268/2008 du 1er juin 2011 consid. 10 ; C- 406/2006 du 2 septembre 2008 consid. 8 et la référence citée ; ATA/228/2015 du 2 mars 2015 consid. 8 ; ATA/598/2014 du 29 juillet 2014 consid. 12 ; ATA/182/2014 du 25 mars 2014 consid. 12).</w:t>
      </w:r>
    </w:p>
    <w:p>
      <w:r>
        <w:rPr>
          <w:b/>
        </w:rPr>
        <w:t>E. 14</w:t>
      </w:r>
    </w:p>
    <w:p>
      <w:r>
        <w:t>Dès qu'une décision administrative n'est plus susceptible de recours, l'application du régime qu'elle établit est censée être conforme à l'ordre juridique, même si, en réalité, cette décision est viciée. La nullité absolue, qui empêche la décision d'exister et peut être invoquée en tout temps devant toute autorité ayant à en connaître, y compris devant une autorité d'exécution,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Entrent avant tout en considération, comme motifs de nullité, l'incompétence fonctionnelle et matérielle de l'autorité appelée à statuer, ainsi qu'une erreur manifeste de procédure (cf. ATF 138 II 501 consid. 3.1 ; 137 I 273 consid. 3.1 ; arrêts du Tribunal fédéral 1C_474/2017 du 13 décembre 2017 consid. 3.2 ; 8C_355/2016 du 22 mars 2017 consid. 5.3 ; 1C_111/2016 du 8 décembre 2016 consid. 5.1). L'illégalité d'une décision ne constitue donc pas par principe un motif de nullité ; elle doit au contraire être invoquée dans le cadre des voies ordinaires de recours (cf. ATF 130 II 249 consid. 2.4 ; arrêt du Tribunal fédéral 6B_538/2013, 6B_563/2013 du 14 octobre 2013 consid. 5.3). Un acte administratif illégal est ainsi simplement annulable, dès lors que la plupart des décisions viciées le sont par leur contenu. Selon la jurisprudence,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(cf. ATF 138 III 49 consid. 4.4.3 ; arrêts du Tribunal fédéral 1C_1/2013 du 11 janvier 2013 consid. 4 ; 9C_333/2007 du 24 juillet 2008 consid. 2.1).</w:t>
      </w:r>
    </w:p>
    <w:p>
      <w:r>
        <w:rPr>
          <w:b/>
        </w:rPr>
        <w:t>E. 15</w:t>
      </w:r>
    </w:p>
    <w:p>
      <w:r>
        <w:t>En l’espèce, le tribunal observe que le recourant, domicilié à D______ (France), ne séjourne pas en Suisse, de sorte que son renvoi de ce pays n’est pas possible et n’a pas lieu d’être.</w:t>
      </w:r>
    </w:p>
    <w:p>
      <w:r>
        <w:rPr>
          <w:b/>
        </w:rPr>
        <w:t>E. 16</w:t>
      </w:r>
    </w:p>
    <w:p>
      <w:r>
        <w:t>La question de savoir si cette décision de renvoi doit être considérée comme nulle peut rester ouverte, dès lors qu’elle est annulable, le recourant ayant conclu à son annulation dans le cadre de la présente procédure ordinaire de recours.</w:t>
      </w:r>
    </w:p>
    <w:p>
      <w:r>
        <w:rPr>
          <w:b/>
        </w:rPr>
        <w:t>E. 17</w:t>
      </w:r>
    </w:p>
    <w:p>
      <w:r>
        <w:t>Par conséquent, la décision de renvoi sera annulée.</w:t>
      </w:r>
    </w:p>
    <w:p>
      <w:r>
        <w:t>- 7/8 - A/510/2021</w:t>
      </w:r>
    </w:p>
    <w:p>
      <w:r>
        <w:rPr>
          <w:b/>
        </w:rPr>
        <w:t>E. 18</w:t>
      </w:r>
    </w:p>
    <w:p>
      <w:r>
        <w:t>Le recours étant partiellement admis, un émolument réduit à CHF 250.-, couvert par l’avance de frais d’un même montant versée à la suite du dépôt du recours, sera mis à la charge du recourant, en application des art. 87 al. 1 LPA et 1 et 2 du règlement sur les frais, émoluments et indemnités en procédure administrative du 30 juillet 1986 (RFPA - E 5 10.03).</w:t>
      </w:r>
    </w:p>
    <w:p>
      <w:r>
        <w:rPr>
          <w:b/>
        </w:rPr>
        <w:t>E. 19</w:t>
      </w:r>
    </w:p>
    <w:p>
      <w:r>
        <w:t>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- 8/8 - A/510/2021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