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JTAPI/896/2022 vom 2. September 2022</w:t>
      </w:r>
    </w:p>
    <w:p>
      <w:r>
        <w:t>GE Cour de justice, 2022-09-02, FR</w:t>
      </w:r>
    </w:p>
    <w:p>
      <w:r>
        <w:rPr>
          <w:b/>
        </w:rPr>
        <w:t xml:space="preserve">Quelle: </w:t>
      </w:r>
      <w:r>
        <w:t>https://mcp.opencaselaw.ch/entscheid/ge_gerichte_JTAPI_896_2022</w:t>
      </w:r>
    </w:p>
    <w:p>
      <w:r>
        <w:t>FR: GE_GERICHTE JTAPI/896/2022 du 2 septembre 2022</w:t>
      </w:r>
    </w:p>
    <w:p>
      <w:r>
        <w:t>IT: GE_GERICHTE JTAPI/896/2022 del 2 settembre 2022</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t>- 6/9 - A/2761/2022</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w:t>
      </w:r>
    </w:p>
    <w:p>
      <w:r>
        <w:t>- 7/9 - A/2761/2022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il ressort des pièces du dossier et des déclarations des parties que la situation conjugale du couple est difficile et qu’il existe de fortes tensions liées principalement aux relations personnelles de chacun avec leur fille D______ et à des problèmes d’argent. Une requête en mesures protectrices de l’union conjugale avec mesures superprovisionnelles a du reste été déposée par Mme B______ le 26 juillet 2022 auprès du Tribunal de première instance, lequel a rendu une ordonnance le 27 juillet 2022 condamnant M. A______ à verser à sa femme CHF 400.- pour l’entretien de D______. Les époux s’accordent sur le fait qu’ils souhaitent vivre séparément mais qu’en l’état ils n’ont pas les moyens financiers de le faire. Le tribunal relèvera que M. A______ a transmis à son épouse, entre le 17 et le 18 août 2022, pas moins de quatre courriels de plusieurs pages détaillant de manière particulièrement précise comment il souhaite que la garde de leur fille D______ soit organisée tant qu’ils vivent ensemble et lorsqu’ils auront chacun un logement, ainsi que la liste très détaillée de factures et dépenses dont il s’acquitte. Il résume également tous les manquements que son épouse aurait commis dans le cadre de l’organisation qu’il a établie concernant D______ ces derniers mois. Mme B______ a produit une attestation de l’association AVVEC dont il ressort qu’elle vient en consultation régulière depuis le 10 mai 2022, relatant des violences économiques, verbales, psychologiques et physiques de la part de son mari ; le contenu des entretiens avec Mme B______, son récit des événements et des effets de la violence conjugale présentent une cohérence significative avec ce que l’expérience a appris aux membres de l’association de ce phénomène et de son déroulement. À ce stade, il s'agit pour le tribunal d'examiner si c'est à juste titre que le commissaire de police a prononcé une mesure d'éloignement du domicile conjugal à l'encontre de M. A______, étant rappelé que la mesure de concerne pas leur fille D______. Lors des événements du 31 août 2022, il n’est pas contesté que M. A______ souhaitait discuter de la prise en charge de D______ pendant l’absence de sa femme, laquelle devait initialement partir à Paris du 1er au 4 septembre 2022. Comme l’a reconnu M. A______, il a insisté auprès de sa femme pour avoir cette</w:t>
      </w:r>
    </w:p>
    <w:p>
      <w:r>
        <w:t>- 8/9 - A/2761/2022 discussion qu’elle-même ne souhaitait pas, ayant organisé la garde de D______ durant son absence. Les déclarations des parties divergent pour le surplus sur le déroulement du conflit survenu le 31 août 2021. S'agissant de la vraisemblance des déclarations faites à la police par Mme B______, le tribunal relèvera qu’elles sont corroborées par les photos réalisées par la police et le constat médical produit. Par ailleurs, il sied de rappeler que la police est déjà intervenue à deux reprises au domicile des époux, dont une fois à la demande de Mme B______ pour des violences. Enfin, Mme B______ a un discours cohérent sur ce qu’elle vit, est suivie par l’association AVVEC depuis mai 2022 et a fait part des violences tant physiques que psychologiques et économiques dont elle fait l’objet, lesquelles paraissent pour l’association cohérentes. De son côté, M. A______ nie tout en bloc : il conteste toute forme de violence de sa part envers sa femme et toute insultes, tant pendant les évènements de 2017 et 2020 que lors de l’altercation du 31 août dernier ; il ne reconnait ainsi aucun des faits qui lui sont reprochés, faisant porter à sa femme la responsabilité des conflits. Il ne semble pas percevoir la pression qu’il inflige à sa femme notamment dans l’organisation qu’il a mise en place concernant leur fille D______ et les reproches qu’ils formule à son encontre : toute forme de violence psychologique et économique n’est donc pas exclue. Au vu de ce qui précède, étant rappelé, comme précisé plus haut, que les mesures d'éloignement n'impliquent pas un degré de preuve, mais une présomption suffisante des violences et de la personne de leur auteur, le tribunal ne pourra que confirmer la mesure d'éloignement prononcée à l'égard de M. A______. Prise pour une durée de dix jours, elle n'apparaît pas d'emblée disproportionnée, étant souligné que M. A______ n'a pas fait mention à l'audience de difficultés particulières qu'il aurait connues pour trouver un lieu d'hébergement. Le tribunal rappellera aux époux que la mesure d’éloignement ne concerne pas D______ et que, dès lors, M. A______ est autorisé à la voir autant que son épouse. Il appartiendra ainsi aux époux de s’organiser dans ce sens, au mieux des intérêts de D______.</w:t>
      </w:r>
    </w:p>
    <w:p>
      <w:r>
        <w:rPr>
          <w:b/>
        </w:rPr>
        <w:t>E. 6</w:t>
      </w:r>
    </w:p>
    <w:p>
      <w:r>
        <w:t>Par conséquent, l'opposition sera rejetée et la mesure d'éloignement confirmée dans son principe et sa durée.</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- 9/9 - A/2761/2022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