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JTAPI/894/2021 vom 2. September 2021</w:t>
      </w:r>
    </w:p>
    <w:p>
      <w:r>
        <w:t>GE Cour de justice, 2021-09-02, FR</w:t>
      </w:r>
    </w:p>
    <w:p>
      <w:r>
        <w:rPr>
          <w:b/>
        </w:rPr>
        <w:t xml:space="preserve">Quelle: </w:t>
      </w:r>
      <w:r>
        <w:t>https://mcp.opencaselaw.ch/entscheid/ge_gerichte_JTAPI_894_2021</w:t>
      </w:r>
    </w:p>
    <w:p>
      <w:r>
        <w:t>FR: GE_GERICHTE JTAPI/894/2021 du 2 septembre 2021</w:t>
      </w:r>
    </w:p>
    <w:p>
      <w:r>
        <w:t>IT: GE_GERICHTE JTAPI/894/2021 del 2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Par ailleurs, les recourants sont propriétaires de la parcelle voisine de celle concernée par le projet litigieux. Ils font par ailleurs valoir des griefs tirés du droit des constructions qui, s’ils sont admis, peuvent avoir une influence sur leur situation concrète. Partant, ils ont la qualité pour recourir au sens de l’art. 60 al. 1 let. b LPA qui stipule que toute personne qui est touchée directement par une décision, et a un</w:t>
      </w:r>
    </w:p>
    <w:p>
      <w:r>
        <w:t>- 10/22 - A/4146/2020 intérêt personnel digne de protection à ce qu’elle soit annulée ou modifiée, est titulaire de la qualité pour recourir.</w:t>
      </w:r>
    </w:p>
    <w:p>
      <w:r>
        <w:rPr>
          <w:b/>
        </w:rPr>
        <w:t>E. 4</w:t>
      </w:r>
    </w:p>
    <w:p>
      <w:r>
        <w:t>À titre préalable, les recourants demandent la tenue d’un transport sur place, proposent leur audition à titre d’offre de preuve et réservent l’audition de témoins, sans toutefois ni préciser lesquels ni indiquer sur quels sujets ceux-ci pourraient apporter des éclaircissements. Ils sollicitent également l’apport de la procédure ayant trait à l’autorisation de démolir M’8’371.</w:t>
      </w:r>
    </w:p>
    <w:p>
      <w:r>
        <w:rPr>
          <w:b/>
        </w:rPr>
        <w:t>E. 5</w:t>
      </w:r>
    </w:p>
    <w:p>
      <w:r>
        <w:t>Le droit d’être entendu, garanti par l’art. 29 al. 2 de la Constitution fédérale de la Confédération suisse du 18 avril 1999 (Cst. - RS 101), comprend notamment le droit pour les parties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Il ne comprend pas le droit d’être entendu oralement (cf. not. art. 41 in fine LPA ; ATF 140 I 68 consid. 9.6), ni celui d’obtenir l’audition de témoins (ATF 130 II 425 consid. 2.1 ; arrêts du Tribunal fédéral 2C_725/2019 du 12 septembre 2019 consid. 4.1). 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 L’autorité peut renoncer à effectuer des mesures d’instruction si l’administré ne motive pas de manière spécifique leur utilité (arrêt du Tribunal fédéral 2C_946/ 2013 du 29 avril 2014 consid. 3.2)</w:t>
      </w:r>
    </w:p>
    <w:p>
      <w:r>
        <w:rPr>
          <w:b/>
        </w:rPr>
        <w:t>E. 6</w:t>
      </w:r>
    </w:p>
    <w:p>
      <w:r>
        <w:t>En l’espèce, le tribunal estime que le dossier contient les éléments suffisants et nécessaires à l’examen des griefs et arguments mis en avant par les parties. En particulier, les plans versés au dossier et les outils numériques dont disposent le tribunal permettent parfaitement de visualiser la construction litigieuse, de sorte qu’il ne se justifie pas de procéder à un transport sur place, acte d’instruction en soi non obligatoire. Il n’est pas non plus nécessaire de donner suite aux offres de preuve formulées par les recourants qui ont pu exprimer leur point de vue à plusieurs reprises, par leurs écrits, et produire les pièces qu’ils estiment utiles. Ils n’exposent par ailleurs pas en quoi leur audition serait susceptible d’apporter des</w:t>
      </w:r>
    </w:p>
    <w:p>
      <w:r>
        <w:t>- 11/22 - A/4146/2020 éléments complémentaires à ceux déjà exposés. Ils n’ont au surplus pas indiqué quels témoins ils souhaitent faire entendre ni les éléments que ces derniers pourraient apporter. L’apport de la procédure relative à l’autorisation de démolir M’8’371 n’aurait enfin aucune utilité dans la présente cause, étant relevé que cette décision est entrée en force à défaut de recours formé à son encontre. Il n’y a donc pas lieu de donner suite à ces mesures d’instruction sollicitées par les recourants.</w:t>
      </w:r>
    </w:p>
    <w:p>
      <w:r>
        <w:rPr>
          <w:b/>
        </w:rPr>
        <w:t>E. 7</w:t>
      </w:r>
    </w:p>
    <w:p>
      <w:r>
        <w:t>Ceux-ci reprochent également à la décision de ne pas être suffisamment motivée.</w:t>
      </w:r>
    </w:p>
    <w:p>
      <w:r>
        <w:rPr>
          <w:b/>
        </w:rPr>
        <w:t>E. 8</w:t>
      </w:r>
    </w:p>
    <w:p>
      <w:r>
        <w:t>Le droit d’être entendu implique aussi, pour l’autorité, l’obligation de motiver sa décision (ATF 143 III 65 consid. 5.2 ; arrêt du Tribunal fédéral 1C_478/2017 du 8 mai 2018 consid. 2.1). L’art. 46 al. 1 LPA fait de plus obligation aux autorités administratives de rendre des décisions motivées.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de la déférer à l’instance supérieure en connaissance de cause (ATF 143 III 65 consid. 5.2).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 du Tribunal fédéral 1C_415/2019 du 27 mars 2020 consid. 2.1). Il n’y a ainsi violation du droit d’être entendu que si l’autorité ne satisfait pas à son devoir minimum d’examiner les problèmes pertinents (ATF 134 I 83 consid. 4.1 ; arrêt du Tribunal fédéral 2C_56/2015 du 13 mai 2015 consid. 2.1). Une violation du droit d’être entendu peut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142 II 218 consid. 2.8.1 ; arrêt du Tribunal fédéral 1C_443/2020 du 8 avril 2021 consid. 3.1 ; ATA/39/2019 du 15 janvier 2019 consid. 2b).</w:t>
      </w:r>
    </w:p>
    <w:p>
      <w:r>
        <w:rPr>
          <w:b/>
        </w:rPr>
        <w:t>E. 9</w:t>
      </w:r>
    </w:p>
    <w:p>
      <w:r>
        <w:t>En l’espèce, le département a statué au moyen de la formule classique dont il fait usage dans de telles circonstances, se référant notamment à la dernière version du</w:t>
      </w:r>
    </w:p>
    <w:p>
      <w:r>
        <w:t>- 12/22 - A/4146/2020 projet (et donc implicitement à ses plans), aux art. 59 et 64 LCI et 2 al. 2 let. a LGZD ainsi qu’aux conditions fixées dans les préavis émis dans le cadre de l’instruction du dossier. On ne voit pas quels éléments supplémentaires il aurait pu et dû énoncer à l’appui de sa décision, qui repose par ailleurs sur des préavis tous favorables. Au demeurant, les recourants ont très bien saisi le sens et la portée de cette décision, ce qui leur a permis d’exercer de manière complète et en temps utile leur droit de recours. Pour le surplus, un défaut de motivation peut être réparé par la prise de position de l’autorité intimée suite à un recours, si l’administré se voit offrir la possibilité de s’exprimer à son sujet, ce qui a été le cas en l’occurrence, et que l’autorité de recours peut examiner librement les questions de fait et de droit, ce qui est aussi le cas en l’occurrence. Infondé, ce grief sera écarté.</w:t>
      </w:r>
    </w:p>
    <w:p>
      <w:r>
        <w:rPr>
          <w:b/>
        </w:rPr>
        <w:t>E. 10</w:t>
      </w:r>
    </w:p>
    <w:p>
      <w:r>
        <w:t>Les recourants se plaignent également de ne pas avoir eu la possibilité de se déterminer avant le prononcé de la décision attaquée, que la décision de refus du 19 mai 2020 ne leur a pas été communiquée et qu'elle ne figure pas au dossier.</w:t>
      </w:r>
    </w:p>
    <w:p>
      <w:r>
        <w:rPr>
          <w:b/>
        </w:rPr>
        <w:t>E. 11</w:t>
      </w:r>
    </w:p>
    <w:p>
      <w:r>
        <w:t>À cet égard, force est de relever que les recourants ne sont ni les requérants de l’autorisation de construire ni ses bénéficiaires, de sorte qu’ils n’ont aucun droit de partie dans le cadre de la procédure non contentieuse ayant abouti à la décision litigieuse. Partant, le département ne devait pas les inviter à se déterminer avant de prononcer la décision attaquée, étant relevé qu’ils y ont néanmoins participé puisqu’ils ont transmis des observations au département en date des 22 et 26 juillet 2019. Quant à la prétendue décision de refus du 19 mai 2020, elle n’existe pas, raison pour laquelle elle ne figure pas au dossier. Ainsi qu’expliqué par le département au mandataire de l’intimée le 26 mai 2020, la mention « refusé » visible sur la plateforme SadConsultation en date du 19 mai 2020 n’était qu’indicative, le dossier étant encore en cours d’instruction à cette période. Les recourants ne peuvent dès lors en tirer aucun grief.</w:t>
      </w:r>
    </w:p>
    <w:p>
      <w:r>
        <w:rPr>
          <w:b/>
        </w:rPr>
        <w:t>E. 12</w:t>
      </w:r>
    </w:p>
    <w:p>
      <w:r>
        <w:t>Les recourants soutiennent ensuite que l’autorisation de construire litigieuse est viciée quant à la personne de son destinataire.</w:t>
      </w:r>
    </w:p>
    <w:p>
      <w:r>
        <w:rPr>
          <w:b/>
        </w:rPr>
        <w:t>E. 13</w:t>
      </w:r>
    </w:p>
    <w:p>
      <w:r>
        <w:t>L’art. 2 al. 2 LCI délègue au Conseil d’État, par le biais du règlement d’application que ce dernier doit édicter, le soin de déterminer les pièces qui doivent être déposées par les personnes demandant une autorisation de construire. En application de cette disposition, cette autorité a prévu que toutes les demandes d’autorisation de construire devaient être datées et signées par le propriétaire de l’immeuble intéressé, ainsi que par le requérant ou l’éventuel mandataire professionnellement qualifié (art. 11 al. 4 RCI).</w:t>
      </w:r>
    </w:p>
    <w:p>
      <w:r>
        <w:t>- 13/22 - A/4146/2020 Le défaut de désignation des parties et les erreurs dans l’écriture de leurs noms ou de leurs adresses n’entraînent la nullité de l’acte que si, exceptionnellement, les parties ne sont pas individuellement reconnaissables d’une autre manière (ATA/1274/2017 du 12 septembre 2017 consid. 3b).</w:t>
      </w:r>
    </w:p>
    <w:p>
      <w:r>
        <w:rPr>
          <w:b/>
        </w:rPr>
        <w:t>E. 14</w:t>
      </w:r>
    </w:p>
    <w:p>
      <w:r>
        <w:t>En l’occurrence, l’autorisation de construire litigieuse indique certes en tant que requérante « Meyrinimmo SA », société non inscrite au registre du commerce, en lieu et place de Meyrimmo SA, propriétaire de la parcelle et requérante de la demande l’autorisation de construire. Le département a reconnu qu’il s’agissait d’une erreur de sa part lorsqu’il a enregistré les données dans son système informatique. Dans ces circonstances, l'on ne peut retenir que les parties ne sont pas individuellement reconnaissables ; il ne saurait y avoir de confusion dans la titularité des droits et obligations découlant de l’autorisation litigieuse. En outre, les recourants n’ont subi aucun préjudice du fait de cette erreur de plume qui n’a eu aucun impact sur le cours de l’instruction et qui ne change rien au fond du litige : cela ne les a de plus aucunement empêchés d’exercer valablement leur droit de recours. Dès lors, l’erreur que comporte l’autorisation ne saurait entraîner son invalidation et ce grief doit être rejeté.</w:t>
      </w:r>
    </w:p>
    <w:p>
      <w:r>
        <w:rPr>
          <w:b/>
        </w:rPr>
        <w:t>E. 15</w:t>
      </w:r>
    </w:p>
    <w:p>
      <w:r>
        <w:t>Les recourants se plaignent d’une mauvaise application de l’art. 2 LGZD.</w:t>
      </w:r>
    </w:p>
    <w:p>
      <w:r>
        <w:rPr>
          <w:b/>
        </w:rPr>
        <w:t>E. 16</w:t>
      </w:r>
    </w:p>
    <w:p>
      <w:r>
        <w:t>Selon l’art. 2 al. 1 let. a LGZD, la délivrance d’autorisations de construire selon les normes d’une zone de développement est subordonnée, sous réserve des demandes portant sur des objets de peu d’importance ou provisoires, à l’approbation préalable par le Conseil d’État d’un PLQ au sens de l’art. 3 LGZD, assorti d’un règlement. En vertu de l’art. 2 al. 2 LGZD, le Conseil d’État peut, après consultation du conseil administratif ou du maire de la commune, renoncer à l’établissement d’un tel plan dans les périmètres de développement de la 5e zone résidentielle (let. a) et dans les quartiers de développement déjà fortement urbanisés (let. c).</w:t>
      </w:r>
    </w:p>
    <w:p>
      <w:r>
        <w:rPr>
          <w:b/>
        </w:rPr>
        <w:t>E. 17</w:t>
      </w:r>
    </w:p>
    <w:p>
      <w:r>
        <w:t>Selon le Tribunal fédéral, le droit fédéral n’impose pas l’établissement d’un PLQ en zone de développement, exigence introduite en droit cantonal par l’art. 2 al. 2 LGZD. Une dérogation à cette obligation peut ainsi de la même manière être introduite par le législateur cantonal, sans pour autant violer le droit fédéral (arrêt du Tribunal fédéral 1C_558/2009 du 25 mai 2010 consid. 3 ; ATA 277/2010 du 27 avril 2010). Plus récemment, le Tribunal fédéral a toutefois précisé que lorsque la zone de fond est agricole, l’octroi d’une dérogation à l’obligation d’adopter un PLQ en application de l’art. 2 al. 2 LGZD pour délivrer directement une autorisation de construire pour un objet relevant d’une zone à bâtir contreviendrait à l’obligation</w:t>
      </w:r>
    </w:p>
    <w:p>
      <w:r>
        <w:t>- 14/22 - A/4146/2020 de planifier tirée de l’art. 2 de la loi fédérale sur l’aménagement du territoire du 22 juin 1979 (LAT - RS 700) (arrêt du Tribunal fédéral 1C_416/2018 du 15 juillet 2019 consid. 6.2). Cet arrêt concerne la substitution d’une zone de développement 3 à la zone agricole.</w:t>
      </w:r>
    </w:p>
    <w:p>
      <w:r>
        <w:rPr>
          <w:b/>
        </w:rPr>
        <w:t>E. 18</w:t>
      </w:r>
    </w:p>
    <w:p>
      <w:r>
        <w:t>En l’occurrence, eu égard à la présente situation, la dérogation prévue par l’art. 2 al. 2 let. a et/ou c LGZD se justifie. La conclusion du Tribunal fédéral dans l’arrêt du 15 juillet 2019 précité ne s’applique pas par analogie au cas d’espèce, les deux situations étant fortement différentes. En effet, le cas ayant donné lieu à cet arrêt concernait la création d’une zone de développement 3, dans laquelle des projets d’une certaine densité peuvent être autorisés, portant sur des parcelles situées en zone agricole et vierges de toute construction. Une telle situation ne saurait être comparée à celle litigieuse, où tant la parcelle en cause que celles voisines sont affectées en zone de développement 5 depuis 1963 et construites depuis 1971 en application des prescriptions de la cinquième zone, et ce sans l’adoption d’un PLQ, sur la base justement de l’art. 2 al. 2 LGZD, alors que la LAT n’était pas en vigueur. En outre, le PDCn 2030 confirme le caractère constructible de la parcelle en la situant dans un secteur urbanisé d’« utilisation diversifiée de la zone villas », où l’un des objectifs à réaliser est notamment la densification du bâti. Enfin, il n’y a que peu de sens d’exiger l’élaboration d’un PLQ pour une seule parcelle, de taille moyenne, sur laquelle est prévue une seule habitation à plusieurs logements, les PLQ étant en principe réservé aux projets de construction d’une certaine importance. Le besoin de planification pour une seule parcelle, sise dans un environnement déjà bâti et ne concernant en fin de compte qu’une démolition/ reconstruction, n’apparait nullement nécessaire.</w:t>
      </w:r>
    </w:p>
    <w:p>
      <w:r>
        <w:rPr>
          <w:b/>
        </w:rPr>
        <w:t>E. 19</w:t>
      </w:r>
    </w:p>
    <w:p>
      <w:r>
        <w:t>Dans un autre grief, les recourants se plaignent de la démolition de la toiture commune, déclarant ne pas avoir été consulté à cet égard, en violation des règles de copropriété.</w:t>
      </w:r>
    </w:p>
    <w:p>
      <w:r>
        <w:rPr>
          <w:b/>
        </w:rPr>
        <w:t>E. 20</w:t>
      </w:r>
    </w:p>
    <w:p>
      <w:r>
        <w:t>Selon les principes généraux du droit, il n’appartient pas à l’administration de s’immiscer dans les conflits de droit privé pouvant s’élever entre le requérant d’une autorisation de construire et un opposant. La législation cantonale en matière de police des constructions a pour seul but d’assurer la conformité des projets présentés aux prescriptions en matière de constructions et d’aménage- ments, intérieurs et extérieurs, des bâtiments et des installations. En revanche, elle n’a pas pour objet de veiller au respect des droits réels ou de ceux des tiers, ces questions relevant de la compétence du juge civil (art. 3 al. 6 LCI ; ATA/517/2018 du 29 mai 2018 consid. 5g). Le contrôle du respect du droit de propriété - de même que l’examen de tout autre litige ressortissant au droit privé - reste dévolu aux tribunaux civils, dont la mise en œuvre est précisément réservée par l’art. 3 al. 6 LCI (cf. ATA/166/2018 du 20 février 2018 consid. 5 et les arrêts cités ; ATA/ 1273/2017 du 12 septembre 2017 consid. 18b ; cf. aussi arrêt du Tribunal fédéral 1C_416/2012 du 6 décembre 2012 consid. 5 in fine).</w:t>
      </w:r>
    </w:p>
    <w:p>
      <w:r>
        <w:t>- 15/22 - A/4146/2020</w:t>
      </w:r>
    </w:p>
    <w:p>
      <w:r>
        <w:rPr>
          <w:b/>
        </w:rPr>
        <w:t>E. 21</w:t>
      </w:r>
    </w:p>
    <w:p>
      <w:r>
        <w:t>En l’espèce, le grief susmentionné soulevé par les recourants relève du droit privé et échappe ainsi à la compétence du tribunal. Au demeurant, le recours ne porte pas sur l’autorisation de démolir M 8’367, qui est entrée en force, avec pour effet que la démolition de la toiture commune serait aussi exorbitante à la présente cause pour ce motif (cf. ATA/438/2021 du 20 avril 2021 consid. 2a). Ce grief doit donc aussi être rejeté.</w:t>
      </w:r>
    </w:p>
    <w:p>
      <w:r>
        <w:rPr>
          <w:b/>
        </w:rPr>
        <w:t>E. 22</w:t>
      </w:r>
    </w:p>
    <w:p>
      <w:r>
        <w:t>Les recourants font valoir que le gabarit de la construction projetée ne respecte pas la hauteur maximale de la zone en cause ; ils se prévalent aussi de l’art. 11 LCI.</w:t>
      </w:r>
    </w:p>
    <w:p>
      <w:r>
        <w:rPr>
          <w:b/>
        </w:rPr>
        <w:t>E. 23</w:t>
      </w:r>
    </w:p>
    <w:p>
      <w:r>
        <w:t>En 5ème zone, la hauteur de la ligne verticale du gabarit ne peut dépasser nulle part 10 m, au niveau supérieur de la dalle de couverture (art. 61 al. 4 1ère phr. LCI). Pour le calcul du gabarit, le point de référence au sol est mesuré conformément aux dispositions du plan d’aménagement ou des prescriptions du département ou, à défaut, à partir du niveau moyen du terrain adjacent (art. 63 al. 1 LCI et 20 al. 1 RCI). Les constructions peuvent être couvertes par une toiture en terrasse ou par un toit dont la pente ne peut excéder 35° ; des dérogations peuvent toutefois être accordées, sur préavis de la CA, si des motifs d’esthétique le justifient (art. 64 al. 1 LCI). L’art. 11 LCI octroie la possibilité au département, dans certaines circonstances, de prescrire, sur préavis de la CA, des hauteurs inférieures ou supérieures à celles qui sont prévues par la loi afin d’harmoniser une nouvelle construction avec celles qui lui sont immédiatement contiguës (al. 1) ou d’autoriser, après consultation de la CA, un dépassement du gabarit prescrit par la loi (al. 4).</w:t>
      </w:r>
    </w:p>
    <w:p>
      <w:r>
        <w:rPr>
          <w:b/>
        </w:rPr>
        <w:t>E. 24</w:t>
      </w:r>
    </w:p>
    <w:p>
      <w:r>
        <w:t>Selon une jurisprudence bien établie, les juridictions de recours observent une certaine retenue pour éviter de substituer leur propre appréciation à celle des instances de préavis spécialisées, pour autant que l’autorité inférieure suive l’avis de ces dernières. Elle se limitent à examiner si l’autorité ne s’est pas écartée sans motif prépondérant et dûment établi du préavis de ces instances, composées de spécialistes capables d’émettre un jugement dépourvu de subjectivisme et de considérations étrangères aux buts de protection fixés par la loi (ATA/843/2019 du 30 avril 2019 consid. 8 et les références citées). Lorsque la consultation d’une instance de préavis est imposée par la loi, son préavis a un poids certain dans l’appréciation qu’est amenée à effectuer l’autorité de recours et il convient de ne pas le minimiser (ATA/146/2021 du 9 février 2021 consid. 10a ; ATA/1633/2019 du 5 novembre 2019 consid. 6b).</w:t>
      </w:r>
    </w:p>
    <w:p>
      <w:r>
        <w:rPr>
          <w:b/>
        </w:rPr>
        <w:t>E. 25</w:t>
      </w:r>
    </w:p>
    <w:p>
      <w:r>
        <w:t>En l’espèce, le département a valablement retenu que le gabarit respecte les dispositions légales topiques et accordé une dérogation sur la base de l’art. 64 al. 1</w:t>
      </w:r>
    </w:p>
    <w:p>
      <w:r>
        <w:t>- 16/22 - A/4146/2020 LCI. En effet, à teneur des coupes A-A et B-B, la construction projetée comporte trois niveaux et la dalle brute de couverture se situe à 8,77 m. La hauteur de la ligne verticale du gabarit est donc inférieure à 10 m, au-dessus de laquelle peut s’insérer un attique qui n’est pas compté dans le gabarit en vertu de l’art. 64 al. 1 LCI. Ainsi, le fait que la hauteur de la construction projetée culmine à 11,45 m n’apparaît pas critiquable. En outre, si la pente de l’attique excède les 35° du côté de la rue Virgino-Malnati, la CA, instance spécialisée en matière d’architecture et d’urbanisme, a préavisé favorablement à une dérogation pour permettre ce dépassement. Le département ne peut se voir reprocher un abus ou excès de son pouvoir d’appréciation, dans la mesure où il a tenu compte de ce préavis ainsi que du fait que seule une petite partie de la construction requérait une dérogation, de la largeur très restreinte de l’attique (3,25 m sur les 15 m de large du bâtiment) et du peu de surfaces en toiture qu’elle occupait, pour décider d’octroyer cette dérogation. Ce grief sera dès lors rejeté. Quant à l’invocation de l’art. 11 al. 1 et 4 LCI, le tribunal ne saisit pas, en l’absence de motivation à ce sujet, en quoi cette disposition serait violée, étant au demeurant relevé que le département n’a pas fait application de la dérogation tirée de cette disposition.</w:t>
      </w:r>
    </w:p>
    <w:p>
      <w:r>
        <w:rPr>
          <w:b/>
        </w:rPr>
        <w:t>E. 26</w:t>
      </w:r>
    </w:p>
    <w:p>
      <w:r>
        <w:t>Les recourants font ensuite valoir que le projet violerait l’art. 59 al. 4 LCI.</w:t>
      </w:r>
    </w:p>
    <w:p>
      <w:r>
        <w:rPr>
          <w:b/>
        </w:rPr>
        <w:t>E. 27</w:t>
      </w:r>
    </w:p>
    <w:p>
      <w:r>
        <w:t>Les al. 1, 4 et 5 de l’art. 59 LCI ont été modifiés le 1er octobre 2020 ; par ailleurs des al. 3bis, 4bis, 4ter ont été introduits à la même date. Ces modifications sont entrées en vigueur le 28 novembre 2020.</w:t>
      </w:r>
    </w:p>
    <w:p>
      <w:r>
        <w:t>Selon l’art. 156 LCI qui traite des dispositions transitoires, l’art. 59 al. 3bis, 4 et 5, dans sa teneur du 1er octobre 2020 s’applique aux demandes d’autorisation déposées après leur entrée en vigueur.</w:t>
      </w:r>
    </w:p>
    <w:p>
      <w:r>
        <w:t>En l’espèce, ce sont donc les anciennes dispositions qui s’appliquent.</w:t>
      </w:r>
    </w:p>
    <w:p>
      <w:r>
        <w:rPr>
          <w:b/>
        </w:rPr>
        <w:t>E. 28</w:t>
      </w:r>
    </w:p>
    <w:p>
      <w:r>
        <w:t>En zone villas,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dérogeant au rapport des surfaces (art. 59 al. 4 let. a LCI). La dérogation est par ailleurs croissante plus le standard de performance énergétique est élevé. Ainsi, le rapport de 30% pour un projet de très haute performance énergétique (art. 59 al. 1 LCI) peut être autorisé jusqu’à 48% dans les mêmes conditions ou de 44% si le standard n’est que de haute performance énergétique ou 40% sans standard particulier (art. 59 al. 4 LCI).</w:t>
      </w:r>
    </w:p>
    <w:p>
      <w:r>
        <w:rPr>
          <w:b/>
        </w:rPr>
        <w:t>E. 29</w:t>
      </w:r>
    </w:p>
    <w:p>
      <w:r>
        <w:t>L’art. 59 al. 4 let. a LCI est issu d’une modification législative qui visait à promouvoir une utilisation plus intensive du sol en 5ème zone à bâtir, de façon à</w:t>
      </w:r>
    </w:p>
    <w:p>
      <w:r>
        <w:t>- 17/22 - A/4146/2020 répondre à la crise du logement sévissant à Genève (ATA/1273/2017 du 12 septembre 2017 consid. 11c). Le législateur a eu conscience de cette évolution et a souhaité encourager la réalisation de ces nouvelles formes d’habitat (groupé ou en ordre contigu), lorsqu’il a augmenté les indices d’utilisation du sol dérogatoires susceptibles d’être appliqués dans cette zone. Il a considéré cette évolution comme une réponse utile et nécessaire aux problèmes de l’exiguïté du territoire et de la pénurie de logements, manifestant sa volonté d’appliquer l’art. 59 al. 4 let. a LCI partout où les dérogations prescrites pourraient avoir lieu (ATA/1485/2017 du 14 novembre 2017 consid. 8d).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(ATA/724/2020 du 4 août 2020 consid. 3d; ATA/1335/2019 du 3 septembre 2019 consid. 7).</w:t>
      </w:r>
    </w:p>
    <w:p>
      <w:r>
        <w:rPr>
          <w:b/>
        </w:rPr>
        <w:t>E. 30</w:t>
      </w:r>
    </w:p>
    <w:p>
      <w:r>
        <w:t>Lorsque la loi autorise l’autorité administrative à déroger à l’une de ses dispositions, notamment en ce qui concerne les constructions admises dans une zone, elle confère à cette autorité un pouvoir d’appréciation qui n’est limité que par l’excès ou l’abus, le tribunal n’ayant pas compétence pour apprécier l’opportunité des décisions prises (art. 61 al. 2 LPA ; ATA/123/2018 du 6 février 2018 consid. 4c).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Selon l’art. 59 al. 4 let. a LCI, tant le préavis de la commune que celui de la CA ont cette caractéristique (ATA/498/2020 du 19 mai 2020 consid. 4d; ATA/259/2020 du 3 mars 2020).</w:t>
      </w:r>
    </w:p>
    <w:p>
      <w:r>
        <w:rPr>
          <w:b/>
        </w:rPr>
        <w:t>E. 31</w:t>
      </w:r>
    </w:p>
    <w:p>
      <w:r>
        <w:t>L’art. 59 al. 4 LCI trouve un écho dans la planification cantonale. L’obligation de densification des autorités genevoises résulte du PDCn 2030 adopté le 20 septembre 2013 et approuvé par le Conseil fédéral le 28 janvier 2015.</w:t>
      </w:r>
    </w:p>
    <w:p>
      <w:r>
        <w:t>- 18/22 - A/4146/2020 Le projet querellé se trouve dans une zone où le PDCn 2030 prévoit une utilisation diversifiée de la zone villa en favorisant l’habitat individuel groupé, objet de la fiche A04 du schéma directeur du PDCn 2030. Le projet, concernant un habitat groupé de sept logements, rentre ainsi dans l’objectif de densification de la zone 5 fixé par le PDCn 2030 (cf. ATA/805/2020 du 25 août 2020 consid. 10b; ATA/498/2020 du 19 mai 2020 consid. 4e).</w:t>
      </w:r>
    </w:p>
    <w:p>
      <w:r>
        <w:rPr>
          <w:b/>
        </w:rPr>
        <w:t>E. 32</w:t>
      </w:r>
    </w:p>
    <w:p>
      <w:r>
        <w:t>En l’espèce, la CA, instance spécialisée en matière d’architecture et d’urbanisme, après avoir sollicité des modifications du projet dans ses préavis des 2 juillet et 29 octobre 2019, a rendu le 13 octobre 2019 un préavis favorable à la dérogation selon l’art. 59 al. 4 LCI, en n’émettant aucune réserve concernant une quelconque incompatibilité du projet avec le caractère, l’harmonie et l’aménagement du quartier. Bien qu’il ne contienne que peu de motivation, ce préavis favorable ne souffre aucune ambiguïté, étant précisé qu’un tel préavis favorable n’a pas à être motivé (cf. ATA/628/2021 du 15 juin 2021 consid. 4d ; ATA/414/2017 du 11 avril 2017 consid. 7b, confirmé par l’arrêt du Tribunal fédéral 1C_297/2017 du 6 décembre 2017). Au surplus, la commune a aussi préavisé favorablement. L’argument des recourants selon lequel que le projet ne s’intégrerait pas au quartier en raison de son esthétique, entre dans le cadre de l’appréciation à laquelle celle du juge ne peut se substituer. Certes, le projet querellé ne présente pas les mêmes caractéristiques architecturales que les villas individuelles qui lui seront proches. Toutefois, la consultation du SITG montre une certaine diversité des architectures et des implantations et fait apparaître que le projet est situé en limite avec la zone 4B, qui est constituée de plusieurs petits immeubles. Le projet litigieux, qui prévoit la construction d’une habitation groupée de R+2, s’intègre dans l’évolution législative de l’art. 59 LCI, qui a pour but de répondre aux problèmes de l’exiguïté du territoire. Il est également nécessaire de rappeler qu’en vertu du droit en vigueur, la 5ème zone ne bénéficie en soi d’aucune protection particulière, de sorte que les constructions n’y sont pas soumises, s’agissant de leur expression architecturale, à une contrainte autre que celle résultant de la clause d’esthétique susmentionnée. Dans ces circonstances, il ne peut pas être retenu un quelconque abus ou excès du pouvoir d’appréciation du département qui a suivi tant les préavis favorables de la CA que de la commune. Ce grief sera donc rejeté.</w:t>
      </w:r>
    </w:p>
    <w:p>
      <w:r>
        <w:rPr>
          <w:b/>
        </w:rPr>
        <w:t>E. 33</w:t>
      </w:r>
    </w:p>
    <w:p>
      <w:r>
        <w:t>Les recourants exposent, de façon très générale et pour le moins succincte, divers éléments qui justifiant l’annulation de la décision entreprise qui contreviendrait, selon eux, à l’art. 14 LCI.</w:t>
      </w:r>
    </w:p>
    <w:p>
      <w:r>
        <w:rPr>
          <w:b/>
        </w:rPr>
        <w:t>E. 34</w:t>
      </w:r>
    </w:p>
    <w:p>
      <w:r>
        <w:t>À teneur de l’art. 14 al. 1 let. a LCI, le département peut refuser les autorisations prévues en son art. 1 lorsqu’une construction ou une installation, notamment, peut être la cause d’inconvénients graves pour les usagers, le voisinage ou le public (let. a) ou ne remplit pas des conditions de sécurité et de salubrité suffisantes à</w:t>
      </w:r>
    </w:p>
    <w:p>
      <w:r>
        <w:t>- 19/22 - A/4146/2020 l’égard des voisins ou du public (let. c) ou peut créer, par sa nature, sa situation ou le trafic que provoque sa destination ou son exploitation, un danger ou une gêne durable pour la circulation (let. e).</w:t>
      </w:r>
    </w:p>
    <w:p>
      <w:r>
        <w:rPr>
          <w:b/>
        </w:rPr>
        <w:t>E. 35</w:t>
      </w:r>
    </w:p>
    <w:p>
      <w:r>
        <w:t>Selon la jurisprudence constante, cette disposition appartient aux normes de protection destinées à sauvegarder les particularités de chaque zone, en prohibant les inconvénients incompatibles avec le caractère d’une zone déterminée. Elle ne vise pas au premier chef à protéger l’intérêt des voisins et n’a pas pour but d’empêcher toute construction dans une zone à bâtir qui aurait des effets sur leur situation ou leur bien-être. La construction d’un bâtiment conforme aux normes ordinaires applicables au régime de la zone ne peut en principe être source d’inconvénients graves, notamment en l’absence d’abus de la part du constructeur. Le problème doit être examiné par rapport aux caractéristiques du quartier ou des rues en cause (ATA/448/2021 du 27 avril 2021 consid. 8a). La législation en matière de construction appréhende donc les inconvénients qu’une construction peut apporter au voisinage en fixant des règles précises en matière de gabarit de hauteur, de constructions à la limite de propriétés, de distances aux limites, sur la rue et entre constructions, ainsi que de calcul des vues droites (ATA/752/2014 du 23 septembre 2014 ; cf. arrêts du Tribunal fédéral 1C_337/2015 du 21 décembre 2015 consid. 6.2.2 in fine et 1C_520/2012 consid. 2.5 in fine s’agissant en particulier du droit à la vue).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Le tribunal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(ATA/448/2021 du 27 avril 2021 consid. 8a).</w:t>
      </w:r>
    </w:p>
    <w:p>
      <w:r>
        <w:rPr>
          <w:b/>
        </w:rPr>
        <w:t>E. 36</w:t>
      </w:r>
    </w:p>
    <w:p>
      <w:r>
        <w:t>S’agissant de l’accroissement du trafic routier, il ne crée pas une gêne durable, pour autant qu’il soit raisonnable, au sens de l’art. 14 LCI; de fait, un tel accroissement engendré par de nouvelles constructions conformes à la destination de la zone ne constitue pas un inconvénient grave au sens de cette disposition (ATA/259/2020 du 3 mars 2020 consid. 7a ; ATA/253/2016 du 22 mars 2016 consid. 8b).</w:t>
      </w:r>
    </w:p>
    <w:p>
      <w:r>
        <w:rPr>
          <w:b/>
        </w:rPr>
        <w:t>E. 37</w:t>
      </w:r>
    </w:p>
    <w:p>
      <w:r>
        <w:t>S’agissant de l’ensoleillement, la jurisprudence a précisé, en s’inspirant de la réglementation existante, qu’une perte d’ensoleillement pour les bâtiments environnants due à une ombre qui recouvre la totalité de l’habitation ou du bien- fonds voisin, de deux heures au maximum, à l’équinoxe ou un jour moyen d’hiver</w:t>
      </w:r>
    </w:p>
    <w:p>
      <w:r>
        <w:t>- 20/22 - A/4146/2020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 ATA/448/2021 du 27 avril 2021 consid. 8a et les références citées). Il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Dans leur principe, ces règles jurisprudentielles sont applicables à toutes les zones (ATA/ 448/2021 du 27 avril 2021 précité et les références citées).</w:t>
      </w:r>
    </w:p>
    <w:p>
      <w:r>
        <w:rPr>
          <w:b/>
        </w:rPr>
        <w:t>E. 38</w:t>
      </w:r>
    </w:p>
    <w:p>
      <w:r>
        <w:t>En l’espèce, les recourants allèguent tant une perte d’ensoleillement et de lumière sur leurs maison et jardin, sans pour autant la quantifier ni produire de document permettant d’étayer leur allégation, qu’une perte de vue et d’intimité. À cet égard, il faut relever qu’ils se trouvent dans une zone permettant la construction projetée, de sorte qu’ils doivent en principe souffrir une diminution d’ensoleillement de leur parcelle, qui ne peut être qualifiée de grave en l’absence de tout élément probant contraire. Par ailleurs, si les prescriptions légales des différentes zones en matière de gabarit, de distance aux limites et de vues droites, ont notamment pour vocation d’assurer aux voisins une protection minimale de leur vue et de leur intimité, elles ne garantissent cependant pas un isolement ou une intimité absolue, hors de toute possibilité que les uns parviennent à observer ce qui se passe chez les autres. Or, en l’occurrence, le projet est conforme aux normes applicables à la zone, et de ce point de vue, il ne saurait occasionner des inconvénients graves au recourants. Par rapport à la pompe à chaleur et aux prétendues nuisances de bruit, il ressort expressément du préavis du SABRA du 3 mars 2020 que cette pompe, d’ailleurs déplacée par rapport au projet initial, devra respecter les valeurs de planification, comme indiqué dans le rapport acoustique. Cette condition a été reprise au chiffre 5 de l’autorisation de construire. On ne saurait dès lors retenir l'existence d'un inconvénient grave. Au sens de la jurisprudence précitée, le fait que plus de véhicules circuleront du fait que la nouvelle construction ne constitue pas non plus un inconvénient grave, à moins que cela ne crée une gêne durable, ce qui n’est nullement démontré. On relèvera à cet égard que la chambre administrative a notamment retenu que la construction de trois villas nouvelles ne saurait générer d’inconvénients graves pour le voisinage et que la construction d’un habitat groupé de huit logements ne compromettait pas la desserte par un chemin où un croisement à vue était possible (ATA/285/2021 du 2 mars 2021 consid. 8c et les références citées). Par ailleurs, l’OCT a préavisé favorablement le projet.</w:t>
      </w:r>
    </w:p>
    <w:p>
      <w:r>
        <w:t>- 21/22 - A/4146/2020 S’agissant des servitudes, il ne résulte pas du dossier que la parcelle en cause est grevée d’une restriction de bâtir au profit de l’État de Genève. Quant au prétendu espace interstitiel, en l’absence de plus de motivation, le tribunal ne comprend pas dans quelle mesure il constituerait un inconvénient grave. Au regard de ce qui précède, il sera retenu que le département, suivant les préavis des instances spécialisées, a autorisé la construction projetée qui ne saurait être la cause d’inconvénients graves pour le voisinage au sens de l’art. 14 al. 1 LCI ; les griefs formés par les recourants relèvent, d’une manière générale, plus de leur confort que de considérations de salubrité ou d’inconvénients graves.</w:t>
      </w:r>
    </w:p>
    <w:p>
      <w:r>
        <w:rPr>
          <w:b/>
        </w:rPr>
        <w:t>E. 39</w:t>
      </w:r>
    </w:p>
    <w:p>
      <w:r>
        <w:t>Les recourants semblent enfin faire valoir des violations des art. 58 al. 3 LCI, 46A et 46B RCI.</w:t>
      </w:r>
    </w:p>
    <w:p>
      <w:r>
        <w:rPr>
          <w:b/>
        </w:rPr>
        <w:t>E. 40</w:t>
      </w:r>
    </w:p>
    <w:p>
      <w:r>
        <w:t>L’art. 58 al. 3 LCI stipule que le département peut exiger un plan d’ensemble pour les constructions en ordre contigu. Il peut aussi les interdire lorsque par leur échelle, leur importance ou leur esthétique, elles nuiraient au caractère du quartier ou du site. L’art. 46A RCI concerne les murs en attente et l’art. 46B RCI traitent des murs mitoyens.</w:t>
      </w:r>
    </w:p>
    <w:p>
      <w:r>
        <w:rPr>
          <w:b/>
        </w:rPr>
        <w:t>E. 41</w:t>
      </w:r>
    </w:p>
    <w:p>
      <w:r>
        <w:t>En l’espèce, les griefs des recourants tirés de ces dispositions n’apparaissent pas fondés. En effet, le présent litige ne concerne pas un projet de constructions contiguës et l’art. 58 al. 3 LCI confère d’ailleurs une liberté d’appréciation au département qui peut difficilement être invoqué par les recourants. En outre, il n’y a pas de création de murs en attente et la nouvelle construction comporte un mur porteur. Enfin, chaque villa mitoyenne a été construite pour elle-même et il existe ainsi deux murs en limite de propriété. Ce point n’est pas non plus problématique.</w:t>
      </w:r>
    </w:p>
    <w:p>
      <w:r>
        <w:rPr>
          <w:b/>
        </w:rPr>
        <w:t>E. 42</w:t>
      </w:r>
    </w:p>
    <w:p>
      <w:r>
        <w:t>Au vu de ce qui précède, entièrement mal fondé, le recours sera rejeté.</w:t>
      </w:r>
    </w:p>
    <w:p>
      <w:r>
        <w:rPr>
          <w:b/>
        </w:rPr>
        <w:t>E. 43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1'600.- ; il est couvert par l’avance de frais de CHF 900.- versée à la suite du dépôt du recours.</w:t>
      </w:r>
    </w:p>
    <w:p>
      <w:r>
        <w:rPr>
          <w:b/>
        </w:rPr>
        <w:t>E. 44</w:t>
      </w:r>
    </w:p>
    <w:p>
      <w:r>
        <w:t>Vu l’issue du litige, une indemnité de procédure de CHF 2'100.-, à la charge des recourants, sera allouée à l’intimée (art. 87 al. 2 à 4 LPA et 6 RFPA).</w:t>
      </w:r>
    </w:p>
    <w:p>
      <w:r>
        <w:t>- 22/22 - A/4146/2020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