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JTAPI/893/2025 vom 21. August 2025</w:t>
      </w:r>
    </w:p>
    <w:p>
      <w:r>
        <w:t>GE Cour de justice, 2025-08-21, FR</w:t>
      </w:r>
    </w:p>
    <w:p>
      <w:r>
        <w:rPr>
          <w:b/>
        </w:rPr>
        <w:t xml:space="preserve">Quelle: </w:t>
      </w:r>
      <w:r>
        <w:t>https://mcp.opencaselaw.ch/entscheid/ge_gerichte_JTAPI_893_2025</w:t>
      </w:r>
    </w:p>
    <w:p>
      <w:r>
        <w:t>FR: GE_GERICHTE JTAPI/893/2025 du 21 août 2025</w:t>
      </w:r>
    </w:p>
    <w:p>
      <w:r>
        <w:t>IT: GE_GERICHTE JTAPI/893/2025 del 21 agosto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17 août 2025 à 15 h 15.</w:t>
      </w:r>
    </w:p>
    <w:p>
      <w:r>
        <w:rPr>
          <w:b/>
        </w:rPr>
        <w:t>E. 3</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t>- 5/9 - A/2774/2025</w:t>
      </w:r>
    </w:p>
    <w:p>
      <w:r>
        <w:rPr>
          <w:b/>
        </w:rPr>
        <w:t>E. 3.1</w:t>
      </w:r>
    </w:p>
    <w:p>
      <w:r>
        <w:t>; 2C_756/2009 du 15 décembre 2009 consid. 2.1).</w:t>
      </w:r>
    </w:p>
    <w:p>
      <w:r>
        <w:rPr>
          <w:b/>
        </w:rPr>
        <w:t>E. 4</w:t>
      </w:r>
    </w:p>
    <w:p>
      <w:r>
        <w:t>En l’espèce, M. A______ soutient que la décision de renvoi qui lui a été notifié le 10 mai 2023 serait nulle, car elle lui aurait été fournie dans une langue qu’il ne comprenait pas et qu’il ne lisait pas.</w:t>
      </w:r>
    </w:p>
    <w:p>
      <w:r>
        <w:rPr>
          <w:b/>
        </w:rPr>
        <w:t>E. 5</w:t>
      </w:r>
    </w:p>
    <w:p>
      <w:r>
        <w:t>Une décision entreprise pour violation du droit d’être entendu n’est en principe pas nulle mais annulable (ATF 143 IV 380 consid. 1.4.1 ; arrêt du Tribunal fédéral 1C_31/2021 du 16 juillet 2021 consid. 2.1 ; ATA/547/2021 du 25 mai 2021 consid. 6a et les références). En effet, 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Ainsi,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6</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7</w:t>
      </w:r>
    </w:p>
    <w:p>
      <w:r>
        <w:t>En l’occurrence, il conviendrait tout d’abord de se demander s’il est exact que M. A______ n’a pas été en mesure de comprendre le contenu et la portée de la décision de renvoi qui lui a été notifié le 10 mai 2023. Cette décision comporte une mention</w:t>
      </w:r>
    </w:p>
    <w:p>
      <w:r>
        <w:t>- 6/9 - A/2774/2025 indiquant au contraire qu’elle lui a été notifiée dans une langue qu’il comprenait, à savoir le français (FRA). Il est difficile de déterminer, sur la base du dossier, si, comme il l’affirme, M. A______ ne comprend effectivement pas, ou pas suffisamment le français, et n’aurait donc pas été en mesure de saisir les explications qui lui ont été données au moment de la notification de cette décision. Cette question n’est au demeurant pas absolument déterminante, car même en admettant la position de M. A______, l’incompréhension de la décision de renvoi constituait alors une violation de son droit d’être entendu. Selon les principes rappelés plus haut, une telle violation ne saurait quoi qu’il en soit constituer une cause de nullité de ladite décision. Selon le principe de la bonne foi, qui s’applique à tout un chacun, M. A______, interpellé par les gardes-frontières en situation illégale, et recevant ensuite de leur part un document dont il n’avait soi-disant pas saisi la portée, devait dans ces circonstances se renseigner sur le contenu de cette décision. Il ne pouvait rester passif pendant deux ans, puis conclure au bout de ce laps de temps à la nullité de cette décision.</w:t>
      </w:r>
    </w:p>
    <w:p>
      <w:r>
        <w:rPr>
          <w:b/>
        </w:rPr>
        <w:t>E. 8</w:t>
      </w:r>
    </w:p>
    <w:p>
      <w:r>
        <w:t>Quand bien même on considérerait que les circonstances sus-décrites ont empêché le délai de recours de courir contre la décision de renvoi, celle-ci n’étant dès lors pas encore entrée en force, il convient de rappeler qu’au sens de l’art. 76 al. 1 let. b ch. 1 LEI (cum art. 75 al. 1 let. b LEI), une telle décision n’a pas besoin d’être définitive (Gregor CHATTON / Laurent MERZ, in Code annoté de droit des migrations, vol. II : Loi sur les étrangers [LEtr], 2017 n° 5 ad art. 76 LEtr) et peut d’ailleurs être notifiée simultanément à la détention (op. cit. n° 5 ad art. 76 LEI).</w:t>
      </w:r>
    </w:p>
    <w:p>
      <w:r>
        <w:rPr>
          <w:b/>
        </w:rPr>
        <w:t>E. 9</w:t>
      </w:r>
    </w:p>
    <w:p>
      <w:r>
        <w:t>Pour le surplus, le tribunal constatera que les conditions de la détention prévue par l’art. 76 al. 1 let. b ch. 1 LEI (cum art. 75 al. 1 let. b LEI) sont réalisées en l’espèce, M. A______, en sus de la décision de renvoi dont il fait l’objet, ayant pénétré dans le territoire du canton de Genève alors qu’il en avait été interdit, ce pour quoi il a d’ailleurs été condamné pénalement. Le tribunal relèvera sur ce point que la décision d’interdiction de pénétrer sur le territoire cantonal avait fait l’objet es explications nécessaires, comme en atteste la signature d’un interprète en langue arabe concernant la traduction, dans cette langue, du formulaire d’opposition concernant cette décision.</w:t>
      </w:r>
    </w:p>
    <w:p>
      <w:r>
        <w:rPr>
          <w:b/>
        </w:rPr>
        <w:t>E. 10</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w:t>
      </w:r>
    </w:p>
    <w:p>
      <w:r>
        <w:t>- 7/9 - A/2774/2025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M. A______ soutient que sa détention serait disproportionnée en raison du fait qu’il n’a été condamné, essentiellement, que pour des infractions à la LEI. Par cette argumentation, il confond cependant la détention administrative dont il fait actuellement l’objet et la question de la sanction pénale censée faire suite à de telles infractions. En effet, dans le cadre de la détention administrative, la proportionnalité de cette mesure doit s’examiner à raison de l’intérêt public à pouvoir s’assurer du départ de Suisse de la personne concernée, sans forcément que cette dernière ait été pénalement condamnée. A fortiori, la proportionnalité de la détention administrative ne dépend pas non plus du fait que des antécédents pénaux se rapportent à des infractions graves, même s’il est vrai que de telles infractions peuvent jouer un rôle, par exemple lors d’un léger dépassement du délai de 96 heures prévus pour le contrôle judiciaire de la détention (ATF 121 II 105 consid. 2c p. 109).</w:t>
      </w:r>
    </w:p>
    <w:p>
      <w:r>
        <w:rPr>
          <w:b/>
        </w:rPr>
        <w:t>E. 15</w:t>
      </w:r>
    </w:p>
    <w:p>
      <w:r>
        <w:t>Par ailleurs, compte tenu du non-respect affiché par M. A______ à l’égard de la décision d’interdiction territoriale qui lui a été notifiée le 4 décembre 2024, ainsi que des condamnations répétées dont il a fait l’objet en raison de son séjour illégal en Suisse, il apparaît que seule une détention est apte à assurer la présence de M. A______ au moment où il sera concrètement possible d’exécuter son renvoi.</w:t>
      </w:r>
    </w:p>
    <w:p>
      <w:r>
        <w:rPr>
          <w:b/>
        </w:rPr>
        <w:t>E. 16</w:t>
      </w:r>
    </w:p>
    <w:p>
      <w:r>
        <w:t>Enfin, M. A______ considère que la durée de détention prononcée par la décision litigieuse serait trop longue, étant donné la perspective d’un entretien consulaire en octobre 2025. Le tribunal ne saurait le suivre sur ce point, étant relevé que les autorités suisses sont tributaires du rythme imposé par le Consulat général d’Algérie à Berne au sujet de ces entretiens et qu’il n’existe pour l’heure aucune certitude sur le délai dans lequel cette démarche pour être accomplie en ce qui concerne M. A______.</w:t>
      </w:r>
    </w:p>
    <w:p>
      <w:r>
        <w:rPr>
          <w:b/>
        </w:rPr>
        <w:t>E. 17</w:t>
      </w:r>
    </w:p>
    <w:p>
      <w:r>
        <w:t>Au vu de ce qui précède, il y a lieu de confirmer l'ordre de mise en détention administrative de M. A______ pour une durée de quatre mois.</w:t>
      </w:r>
    </w:p>
    <w:p>
      <w:r>
        <w:t>- 8/9 - A/2774/2025</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A/2774/2025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