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JTAPI/893/2023 vom 17. Februar 2023</w:t>
      </w:r>
    </w:p>
    <w:p>
      <w:r>
        <w:t>GE Cour de justice, 2023-02-17, FR</w:t>
      </w:r>
    </w:p>
    <w:p>
      <w:r>
        <w:rPr>
          <w:b/>
        </w:rPr>
        <w:t xml:space="preserve">Quelle: </w:t>
      </w:r>
      <w:r>
        <w:t>https://mcp.opencaselaw.ch/entscheid/ge_gerichte_JTAPI_893_2023</w:t>
      </w:r>
    </w:p>
    <w:p>
      <w:r>
        <w:t>FR: GE_GERICHTE JTAPI/893/2023 du 17 février 2023</w:t>
      </w:r>
    </w:p>
    <w:p>
      <w:r>
        <w:t>IT: GE_GERICHTE JTAPI/893/2023 del 17 febbraio 2023</w:t>
      </w:r>
    </w:p>
    <w:p>
      <w:pPr>
        <w:pStyle w:val="Heading2"/>
      </w:pPr>
      <w:r>
        <w:t>Erwägungen</w:t>
      </w:r>
    </w:p>
    <w:p>
      <w:r>
        <w:rPr>
          <w:b/>
        </w:rPr>
        <w:t>E. 1</w:t>
      </w:r>
    </w:p>
    <w:p>
      <w:r>
        <w:t>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de la loi sur l’organisation judiciaire du 26 septembre 2010 - LOJ - E 2 05 ; art. 17 de la loi d'application de la législation fédérale sur la circulation routière du 18 décembre 1987 - LaLCR - H 1 05 ; art. 17 al. 1, 3 et 4, 57 let. c, 62 al. 1 let. b, 62 al. 3 1ère phr. et 63 al. 1 let. c LPA).</w:t>
      </w:r>
    </w:p>
    <w:p>
      <w:r>
        <w:rPr>
          <w:b/>
        </w:rPr>
        <w:t>E. 2</w:t>
      </w:r>
    </w:p>
    <w:p>
      <w:r>
        <w:t>A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w:t>
      </w:r>
    </w:p>
    <w:p>
      <w:r>
        <w:t>- 4/9 - A/712/2023</w:t>
      </w:r>
    </w:p>
    <w:p>
      <w:r>
        <w:rPr>
          <w:b/>
        </w:rPr>
        <w:t>E. 2.1</w:t>
      </w:r>
    </w:p>
    <w:p>
      <w:r>
        <w:t>; 1C_76/2017 du 19 mai 2017 consid. 5 ; cf. aussi ATF 139 II 95 consid. 3.5 ; arrêts du Tribunal fédéral 1C_531/2016 du 22 février 2017 consid. 2.4.2 ; 1C_593/2012 du 28 mars 2013 consid. 3.1).</w:t>
      </w:r>
    </w:p>
    <w:p>
      <w:r>
        <w:rPr>
          <w:b/>
        </w:rPr>
        <w:t>E. 2.2</w:t>
      </w:r>
    </w:p>
    <w:p>
      <w:r>
        <w:t>;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w:t>
      </w:r>
    </w:p>
    <w:p>
      <w:r>
        <w:t>- 7/9 - A/712/2023 toxicomanie grave et manifeste (arrêts du Tribunal fédéral 1C_819/2013 du 25 novembre 2013 consid. 2 ; 1C_282/2007 du 13 février 2008 consid. 2.3, in JdT 2008 I 464).</w:t>
      </w:r>
    </w:p>
    <w:p>
      <w:r>
        <w:rPr>
          <w:b/>
        </w:rPr>
        <w:t>E. 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3.1</w:t>
      </w:r>
    </w:p>
    <w:p>
      <w:r>
        <w:t>; 6A.33/2001 et 35/2001 du 30 mai 2001 consid. 3a ; cf. en ce qui concerne le retrait justifié par des raisons médicales ou l'existence d'une dépendance : ATF 129 II 82 consid. 2.2 ; cf. aussi arrêt du Tribunal fédéral 1C_819 du 25 novembre 2013 consid. 2), le pronostic devant être posé sur la base des antécédents du conducteur et de sa situation personnelle (ATF 139 II 95 consid. 3.4.1 ; 125 II 492 consid. 2a).</w:t>
      </w:r>
    </w:p>
    <w:p>
      <w:r>
        <w:rPr>
          <w:b/>
        </w:rPr>
        <w:t>E. 4</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5</w:t>
      </w:r>
    </w:p>
    <w:p>
      <w:r>
        <w:t>La décision querellée stipule que si le recourant ne donne pas suite aux requêtes et convocations des experts, son permis lui serait retiré pour une durée indéterminée. Dès lors, la condition de l'art. 57 let. c LPA apparaît réalisée, si bien qu'il convient d'entrer en matière (cf. arrêts du Tribunal fédéral 1C_531/2016 du 22 février 2017 consid. 1 ; 1C_593/2012 du 28 mars 2013 consid. 1).</w:t>
      </w:r>
    </w:p>
    <w:p>
      <w:r>
        <w:rPr>
          <w:b/>
        </w:rPr>
        <w:t>E. 5.1</w:t>
      </w:r>
    </w:p>
    <w:p>
      <w:r>
        <w:t>; 1C_304/2016 du 5 décembre 2016 consid.</w:t>
      </w:r>
    </w:p>
    <w:p>
      <w:r>
        <w:rPr>
          <w:b/>
        </w:rPr>
        <w:t>E. 6</w:t>
      </w:r>
    </w:p>
    <w:p>
      <w:r>
        <w:t>Les arguments formulés par les parties à l'appui de leurs conclusions respectives seront repris et discutés ci-après dans la mesure nécessaire (cf. arrêts du Tribunal fédéral 1C_72/2017 du 14 septembre 2017 consid. 4.1 ; 1D_2/2017 du 22 mars 2017 consid.</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w:t>
      </w:r>
    </w:p>
    <w:p>
      <w:r>
        <w:t>- 5/9 - A/712/2023 V 71 consid. 5.1 ; 123 V 150 consid. 2 ; arrêt du Tribunal fédéral 1C_107/2016 du 28 juillet 2016 consid. 9).</w:t>
      </w:r>
    </w:p>
    <w:p>
      <w:r>
        <w:rPr>
          <w:b/>
        </w:rPr>
        <w:t>E. 9</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10</w:t>
      </w:r>
    </w:p>
    <w:p>
      <w:r>
        <w:t>Si l'aptitude à la conduite soulève des doutes, la personne concernée fait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11</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w:t>
      </w:r>
    </w:p>
    <w:p>
      <w:r>
        <w:rPr>
          <w:b/>
        </w:rPr>
        <w:t>E. 12</w:t>
      </w:r>
    </w:p>
    <w:p>
      <w:r>
        <w:t>Aux termes de l'art. 16d al. 1 let. b LCR, le permis d'élève conducteur ou le permis de conduire est retiré pour une durée indéterminée à la personne qui souffre d'une forme de dépendance la rendant inapte à la conduite. La consommation de stupéfiants est considérée comme une dépendance aux drogues au sens de cette disposition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p. 86; 127 II 122 consid. 3c p. 126; 124 II 559 consid. 3d p. 564; arrêt 1C_328/2013 du 18 septembre 2013 consid. 3.1).</w:t>
      </w:r>
    </w:p>
    <w:p>
      <w:r>
        <w:rPr>
          <w:b/>
        </w:rPr>
        <w:t>E. 13</w:t>
      </w:r>
    </w:p>
    <w:p>
      <w:r>
        <w:t>Ces mesures constituent un retrait de sécurité (cf. ATF 139 II 95 consid. 3.4.1 ; 122 II 359 consid. 1a ; arrêts du Tribunal fédéral 1C_531/2016 du 22 février</w:t>
      </w:r>
    </w:p>
    <w:p>
      <w:r>
        <w:t>- 6/9 - A/712/2023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14</w:t>
      </w:r>
    </w:p>
    <w:p>
      <w:r>
        <w:t>La décision de retrait de sécurité du permis de conduire, notamment pour alcoolisme ou d'autres causes de toxicomanie, constitue une atteinte grave à la sphère privée de l'intéressé ; elle doit donc reposer sur une instruction précise des circonstances déterminantes (ATF 139 II 95 consid. 3.4.1 ; 133 II 284 consid.</w:t>
      </w:r>
    </w:p>
    <w:p>
      <w:r>
        <w:rPr>
          <w:b/>
        </w:rPr>
        <w:t>E. 15</w:t>
      </w:r>
    </w:p>
    <w:p>
      <w:r>
        <w:t>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w:t>
      </w:r>
    </w:p>
    <w:p>
      <w:r>
        <w:rPr>
          <w:b/>
        </w:rPr>
        <w:t>E. 16</w:t>
      </w:r>
    </w:p>
    <w:p>
      <w:r>
        <w:t>Un tel doute peut reposer sur de simples indices, en particulier lorsqu'il en va d'une dépendance en matière de produits stupéfiants (cf. arrêt du Tribunal fédéral 1C_593/2012 du 28 mars 2013 consid. 3.1).</w:t>
      </w:r>
    </w:p>
    <w:p>
      <w:r>
        <w:rPr>
          <w:b/>
        </w:rPr>
        <w:t>E. 17</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w:t>
      </w:r>
    </w:p>
    <w:p>
      <w:r>
        <w:rPr>
          <w:b/>
        </w:rPr>
        <w:t>E. 18</w:t>
      </w:r>
    </w:p>
    <w:p>
      <w:r>
        <w:t>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w:t>
      </w:r>
    </w:p>
    <w:p>
      <w:r>
        <w:rPr>
          <w:b/>
        </w:rPr>
        <w:t>E. 19</w:t>
      </w:r>
    </w:p>
    <w:p>
      <w:r>
        <w:t>En l'espèce, la question à trancher est celle de savoir s'il existe des doutes suffisants quant à l'aptitude à la conduite du recourant, susceptibles de justifier la mise en œuvre d'une expertise.</w:t>
      </w:r>
    </w:p>
    <w:p>
      <w:r>
        <w:rPr>
          <w:b/>
        </w:rPr>
        <w:t>E. 20</w:t>
      </w:r>
    </w:p>
    <w:p>
      <w:r>
        <w:t>Pour fonder sa décision, l’OCV s'appuie en substance, sur le fait que le recourant transportait 10 grammes de haschich lorsqu'il a été interpellé et qu'il aurait admis consommer de cette drogue, à raison de deux fois par semaine, depuis 2016. Ces faits sont contestés par le recourant qui admet une consommation moindre et occasionnelle. En l'absence de procès-verbal d'audition et au vu du contenu distinct entre les deux rapports de police (consommation occasionnelle de produits cannabique dans le rapport de contravention et à raison de deux fois par semaine, depuis 2016, dans le rapport de renseignement) il n'est pas permis de déterminer, à satisfaction de droit, quelle est la réelle consommation du recourant. Cette question sera toutefois laissée ouverte au vu des considérations mentionnées infra.</w:t>
      </w:r>
    </w:p>
    <w:p>
      <w:r>
        <w:rPr>
          <w:b/>
        </w:rPr>
        <w:t>E. 21</w:t>
      </w:r>
    </w:p>
    <w:p>
      <w:r>
        <w:t>En effet, et dans l'hypothèse qui est la plus défavorable au recourant, soit une consommation à raison de deux fois par semaine, depuis 2016, il n'existe pas, en l'espèce, de suffisamment d'indices concrets permettant de douter de son aptitude à la conduite, au sens de la jurisprudence précitée. M. A______ a été interpellé avec une quantité minime de drogue douce sur lui, étant précisé que l'acquisition et la possession d'une quantité minime de cannabis (jusqu'à 10 grammes) destinées à la consommation personnelle sont légales (arrêt du Tribunal fédéral 6B_911/2021 du 19 juin 2023, destiné à publication). Il n'a pas pris le volant sous substance, ce qui démontre une certaine maîtrise de sa consommation. Celle-ci n'est en outre pas suffisamment fréquente pour considérer qu'il existe un risque majeur qu'il ne distingue plus sa consommation de cannabis et la conduite d'un véhicule automobile et compromette ainsi la sécurité. Le fait qu'il n'ait pas fait opposition à l'ordonne pénale rendue à son encontre n'est pas pertinent dans l'examen des conditions de l'art. 15d al. 1 LCR. En tout état, l'OCV allègue que selon le guide "Aptitude à la conduite" du 27 novembre 2020, en cas de consommation supérieure à deux fois par semaine, une expertise de niveau 4 est préconisée, ce qui n'est pas le cas en l'espèce. En définitive, aucun indice ne permet de retenir que l'intéressé, sans antécédent, serait dépendant au cannabis. Le</w:t>
      </w:r>
    </w:p>
    <w:p>
      <w:r>
        <w:t>- 8/9 - A/712/2023 simple fait de consommer légalement du cannabis, à raison de deux fois par semaine, et de détenir une quantité minime de cette drogue, ne peut entraîner la mise en œuvre d'une expertise médicale de niveau 4, sans violer le principe de proportionnalité, faute de doutes suffisants quant à l'aptitude à la conduite de la personne concernée.</w:t>
      </w:r>
    </w:p>
    <w:p>
      <w:r>
        <w:rPr>
          <w:b/>
        </w:rPr>
        <w:t>E. 22</w:t>
      </w:r>
    </w:p>
    <w:p>
      <w:r>
        <w:t>Partant, les incertitudes de l’OCV sont mal fondées.</w:t>
      </w:r>
    </w:p>
    <w:p>
      <w:r>
        <w:rPr>
          <w:b/>
        </w:rPr>
        <w:t>E. 23</w:t>
      </w:r>
    </w:p>
    <w:p>
      <w:r>
        <w:t>Au vu de ce qui précède, le recours sera admis et la décision annulée.</w:t>
      </w:r>
    </w:p>
    <w:p>
      <w:r>
        <w:rPr>
          <w:b/>
        </w:rPr>
        <w:t>E. 24</w:t>
      </w:r>
    </w:p>
    <w:p>
      <w:r>
        <w:t>En application des art. 87 al. 1 LPA et 1 et 2 du règlement sur les frais, émoluments et indemnités en procédure administrative du 30 juillet 1986 (RFPA – E 5 10.03), le recourante, qui obtient gain de cause, est exonéré de tout émolument. Son avance de frais de CHF 500.- lui sera restituée.</w:t>
      </w:r>
    </w:p>
    <w:p>
      <w:r>
        <w:rPr>
          <w:b/>
        </w:rPr>
        <w:t>E. 25</w:t>
      </w:r>
    </w:p>
    <w:p>
      <w:r>
        <w:t>Non assisté d'un mandataire professionnel, aucune indemnité de procédure ne lui sera allouée (art. 87 al. 2 LPA).</w:t>
      </w:r>
    </w:p>
    <w:p>
      <w:r>
        <w:t>- 9/9 - A/712/2023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