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JTAPI/892/2024 vom 10. September 2024</w:t>
      </w:r>
    </w:p>
    <w:p>
      <w:r>
        <w:t>GE Cour de justice, 2024-09-10, FR</w:t>
      </w:r>
    </w:p>
    <w:p>
      <w:r>
        <w:rPr>
          <w:b/>
        </w:rPr>
        <w:t xml:space="preserve">Quelle: </w:t>
      </w:r>
      <w:r>
        <w:t>https://mcp.opencaselaw.ch/entscheid/ge_gerichte_JTAPI_892_2024</w:t>
      </w:r>
    </w:p>
    <w:p>
      <w:r>
        <w:t>FR: GE_GERICHTE JTAPI/892/2024 du 10 septembre 2024</w:t>
      </w:r>
    </w:p>
    <w:p>
      <w:r>
        <w:t>IT: GE_GERICHTE JTAPI/892/2024 del 10 settembre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4</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4.2</w:t>
      </w:r>
    </w:p>
    <w:p>
      <w:r>
        <w:t>; 1C_514/2016 du 16 janvier 2017consid. 2.2 ; 1C_768/2013 du 10 mars 2014 consid. 3.1 ; 1C_173/2009 du 27 mai 2009 consid. 3.1 in JdT 2009 I 520 ; ATA/1138/2017 du 2 août 2017 consid. 5c).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 ATA/390/2018 du 24 avril 2018 consid. 3b).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OAC). A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 ATA/390/2018 du 24 avril 2018 consid. 3b).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w:t>
      </w:r>
    </w:p>
    <w:p>
      <w:r>
        <w:t>- 8/10 - A/1895/2024 autres usagers de la route (ATA/390/2018 du 24 avril 2018 consid. 3b ; ATA/1138/2017 du 2 août 2017 consid. 5d et les références citées).</w:t>
      </w:r>
    </w:p>
    <w:p>
      <w:r>
        <w:rPr>
          <w:b/>
        </w:rPr>
        <w:t>E. 5</w:t>
      </w:r>
    </w:p>
    <w:p>
      <w:r>
        <w:t>Si l'aptitude à la conduite soulève des doutes, la personne concernée fait l'objet d'une enquête dans les cas énumérés de manière non exhaustive à l'art. 15d al. 1 let. a à e LCR (cf. arrêt du Tribunal fédéral 1C_531/2016 du 22 février 2017 consid. 2.1.1). Un examen d'aptitude est en particulier ordonné, selon l'art. 15d al. 1 let. b LCR, en cas de conduite sous l'emprise de stupéfiants ou de transport de stupéfiants</w:t>
      </w:r>
    </w:p>
    <w:p>
      <w:r>
        <w:t>- 5/10 - A/1895/2024 qui altèrent fortement la capacité de conduire ou présentent un potentiel de dépendance élevé.</w:t>
      </w:r>
    </w:p>
    <w:p>
      <w:r>
        <w:rPr>
          <w:b/>
        </w:rPr>
        <w:t>E. 6</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w:t>
      </w:r>
    </w:p>
    <w:p>
      <w:r>
        <w:rPr>
          <w:b/>
        </w:rPr>
        <w:t>E. 7</w:t>
      </w:r>
    </w:p>
    <w:p>
      <w:r>
        <w:t>Est tenu de s'abstenir de conduire quiconque n'en est pas capable, parce qu'il est surmené, sous l'effet de l'alcool, d'un médicament, d'un stupéfiant ou pour toute autre raison (art. 2 al. 1 de l'ordonnance sur les règles de la circulation routière du 13 novembre 1962 - OCR - RS 741.11).</w:t>
      </w:r>
    </w:p>
    <w:p>
      <w:r>
        <w:rPr>
          <w:b/>
        </w:rPr>
        <w:t>E. 8</w:t>
      </w:r>
    </w:p>
    <w:p>
      <w:r>
        <w:t>Un conducteur est notamment réputé incapable de conduire chaque fois qu'il est prouvé que son sang contient du tetrahydrocannabinol (THC / cannabis) (art. 2 al. 2 let. a OCR). En vertu de la compétence que lui confère l'art. 2 al. 2bis OCR, l'OFROU a retenu que la présence de THC est considérée comme prouvée lorsque sa quantité dans le sang atteint ou dépasse la valeur de 1,5 µg/l (art. 34 let. a de l'ordonnance de l'OFROU concernant l'ordonnance sur le contrôle de la circulation routière du 22 mai 2008 - OOCCR-OFROU - RS 741.013.1), ce qui conduit à poser qu'au-delà de cette valeur, l'incapacité de conduire est présumée de manière irréfragable (arrêt du Tribunal fédéral 6B_136/2010 du 2 juillet 2010 consid. 2.3.2 ; cf. aussi arrêt 6B_743/2012 du 14 février 2013 consid. 1.5).</w:t>
      </w:r>
    </w:p>
    <w:p>
      <w:r>
        <w:rPr>
          <w:b/>
        </w:rPr>
        <w:t>E. 9</w:t>
      </w:r>
    </w:p>
    <w:p>
      <w:r>
        <w:t>La consommation de cannabis, même si elle n'est qu'occasionnelle et ne porte que sur de faibles quantités,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(ATF 130 IV 32 consid. 5.2 ; 124 II 559 consid. 3c/aa et les références citées ; arrêts du Tribunal fédéral 1C_41/2019 du 4 avril 2019 consid. 2.1 ; 6A.84/2003 du 27 janvier 2004 consid. 3.1.2).</w:t>
      </w:r>
    </w:p>
    <w:p>
      <w:r>
        <w:rPr>
          <w:b/>
        </w:rPr>
        <w:t>E. 10</w:t>
      </w:r>
    </w:p>
    <w:p>
      <w:r>
        <w:t>Cela étant, selon la jurisprudence, une consommation régulière, mais contrôlée et modérée de haschisch ne permet pas à elle seule de conclure à l'inaptitude à conduire (ATF 130 IV 32 consid. 5.2 ; 127 II 122 consid. 4b ; 124 II 559 consid. 4d et e ; arrêt du Tribunal fédéral 1C_41/2019 du 4 avril 2019 consid. 2.1). La consommation de stupéfiants est considérée comme une dépendance aux drogues, au sens des dispositions précitées, lorsque sa fréquence et sa quantité diminuent</w:t>
      </w:r>
    </w:p>
    <w:p>
      <w:r>
        <w:t>- 6/10 - A/1895/2024 l'aptitude à conduire et qu'il existe un risque majeur que l'intéressé se mette au volant d'un véhicule dans un état qui, partiellement ou de manière durable, compromet la sûreté de sa conduite et ne permet plus d'assurer la sécurité de la circulation (cf. ATF 129 II 82 consid. 4.1 ; 127 II 22 consid. 3c ; 124 II 559 consid. 3d ; 120 Ib 305 consid. 3c ; arrêts du Tribunal fédéral 1C_819 du 25 novembre 2013 consid. 2 ; 1C_328/2013 du 18 septembre 2013 consid. 3.1 ; 1C_282/2007 du 13 février 2008 consid. 2.1). 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arrêts du Tribunal fédéral 6A.33/2001 et 35/2001 du 30 mai 2001 consid. 3b). En d'autres termes, ces conditions sont remplies lorsque le consommateur n'est plus en mesure de s'abstenir lorsqu'il doit conduire (cf. ATF 127 II 122 consid. 3c ; 124 II 559 consid. 3d et 4e ; arrêts du Tribunal fédéral 1C_819 du 25 novembre 2013 consid. 2 ; 1C_328/2013 du 18 septembre 2013 consid. 3.1 ; 1C_282/2007 du 13 février 2008 consid. 2.1 ; 6A.84/2003 du 27 janvier 2004 consid. 4.1 ; 6A.33/2001 et 35/2001 du 30 mai 2001 consid. 3b). Il convient ainsi d'analyser les habitudes de consommation de l'intéressé, notamment la fréquence, la quantité et les circonstances. Il faut également tenir compte de l'éventuelle absorption d'autres substances stupéfiantes et/ou d'alcool, ainsi que de la personnalité du consommateur, en particulier en ce qui concerne l'abus de drogues et son comportement en tant que conducteur (ATF 128 II 335 consid. 4b ; 124 II 559 consid. 4e et 5a ; arrêts du Tribunal fédéral 1C_41/2019 du 4 avril 2019 consid. 2.1 ; 1C_618/2015 du 7 mars 2016 consid. 2 ; 1C_282/2007 du 13 février 2008 consid. 2.2).</w:t>
      </w:r>
    </w:p>
    <w:p>
      <w:r>
        <w:rPr>
          <w:b/>
        </w:rPr>
        <w:t>E. 11</w:t>
      </w:r>
    </w:p>
    <w:p>
      <w:r>
        <w:t>Comme évoqué plus haut,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et le permis de conduire doit alors en principe être retiré par mesure de précaution, conformément à l'art. 30 OAC (ATF 125 II 396 consid. 3 ; arrêts du Tribunal fédéral 1C_41/2019 du 4 avril 2019 consid. 2.1 ; 1C_144/2017 du 2 juin 2017 consid. 2.3 ; 1C_434/2016 du 1er février 2017 consid. 2.1 ; 1C_404/2007 du 7 mars 2008 consid. 2.4 ; ATA/1138/2017 du 2 août 2017 consid. 5e), quitte à ce que l'autorité rapporte ensuite cette mesure s'il s'avère, après expertise, qu'elle n'était pas justifiée (ATF 125 II 396 consid. 3 ; arrêts du Tribunal fédéral 1C_219/2011 du 30 septembre 2011 consid. 2.2-2.4 ; 1C_420/2007 du 18 mars 2008 consid. 3.4 ; 1C_404/2007 du 7 mars 2008 consid. 2.4 ; 6A.17/2006 du</w:t>
      </w:r>
    </w:p>
    <w:p>
      <w:r>
        <w:rPr>
          <w:b/>
        </w:rPr>
        <w:t>E. 12</w:t>
      </w:r>
    </w:p>
    <w:p>
      <w:r>
        <w:t>Aux termes de l'art. 30 OAC, le permis de conduire peut être retiré à titre préventif lorsqu'il existe des « doutes sérieux » (cf. arrêt du Tribunal fédéral 1C_593/2012 du 28 mars 2013 consid. 3.1) quant à l'aptitude à conduire de l'intéressé. Il s'agit d'une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1C_154/2018 du 4 juillet 2018 consid.</w:t>
      </w:r>
    </w:p>
    <w:p>
      <w:r>
        <w:rPr>
          <w:b/>
        </w:rPr>
        <w:t>E. 13</w:t>
      </w:r>
    </w:p>
    <w:p>
      <w:r>
        <w:t>En l'espèce, il n'appartient pas au tribunal, à ce stade, de se déterminer sur la question de l'aptitude à la conduite du recourant, à laquelle l'expertise ordonnée par l'OCV devra répondre. La prise en considération de tous les éléments plaidant pour ou contre cette aptitude aura en effet lieu à l'issue de cette procédure. La seule question qui se pose en l'état revient à savoir s'il existe effectivement ou non des doutes, voire des « doutes sérieux » quant à l'aptitude à conduire du recourant, susceptibles de justifier l'ordonnance d'une expertise, respectivement le retrait préventif qui lui a été faite. Or, le recourant a été interpellé le 27 mars 2024 alors qu'il conduisait sous l'influence du cannabis. L'expertise toxicologique effectuée sur les prélèvements opérés suite à cette interpellation indique que la concentration de THC déterminée dans son sang (3,6 µg/l) était alors plus de deux fois supérieure à la valeur limite fixée par l'art. 34 let. a OOCCR-OFROU (1,5 µg/l), ce qui suffit en principe à faire naître des doutes quant à l'aptitude d'une personne à conduire (cf. arrêt du Tribunal fédéral 1C_41/2019 du 4 avril 2019 consid. 2.2). Dans leurs conclusions, les experts recommandent d'ailleurs « qu'une évaluation de l'aptitude à conduire soit effectuée ». Par ailleurs, le recourant n'a donné aucune explication quant à sa consommation de cannabis et partant aucune indication suffisante quant à une absence de dépendance et à sa capacité à la conduite. Face à de tels éléments, l'OCV pouvait à juste titre émettre des doutes sérieux quant à l'aptitude à la conduite du recourant. Il était donc fondé à lui retirer à titre préventif son permis de conduire. En regard de l'intérêt public à la protection des usagers de la route, largement prépondérant, l'atteinte à l'intérêt privé du recourant demeure faible et reste encore, par voie de conséquence, proportionnée (cf. arrêts du Tribunal fédéral 1C_593/2012 du 28 mars 2013 consid. 3.3 ; 1C_282/2007 du 13 février 2008 consid. 2.4 ; 6A.17/2006 du 12 avril 2006 consid. 3.2 in fine). C'est aussi à juste titre que l'OCV a fait obligation au recourant de se soumettre à une expertise auprès du CURML pour que celui-ci évalue son aptitude à la conduite avant qu'une décision finale soit prise, étant souligné qu'en cas de mesure préventive prise en application de l'art. 30 OAC, une expertise doit être exécutée dans les meilleurs délais afin que le droit de conduire puisse être restitué au plus vite à son titulaire s'il n'y a pas lieu de prononcer un retrait (une interdiction de circuler en Suisse) de sécurité (cf. ATF 125 II 396 consid. 3 ; 106 Ib 115 consid. 2b ; arrêts du Tribunal fédéral 1C_404/2007 du 7 mars 2008 consid. 2.4 ; 6A.48/2004 du 26 août 2004 consid. 2.3 ; 6A.114/2000 du 20 février 2001 consid. 4a ; cf. aussi arrêt 1C_195/2013 du 20 mars 2013 consid. 3.2-3.4). Dès lors, la décision querellée ne prête pas le flanc à la critique et ne peut qu’être confirmée.</w:t>
      </w:r>
    </w:p>
    <w:p>
      <w:r>
        <w:rPr>
          <w:b/>
        </w:rPr>
        <w:t>E. 14</w:t>
      </w:r>
    </w:p>
    <w:p>
      <w:r>
        <w:t>Le recours, mal fondé, sera rejeté.</w:t>
      </w:r>
    </w:p>
    <w:p>
      <w:r>
        <w:t>- 9/10 - A/1895/2024</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A/1895/2024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