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JTAPI/892/2021 vom 2. September 2021</w:t>
      </w:r>
    </w:p>
    <w:p>
      <w:r>
        <w:t>GE Cour de justice, 2021-09-02, FR</w:t>
      </w:r>
    </w:p>
    <w:p>
      <w:r>
        <w:rPr>
          <w:b/>
        </w:rPr>
        <w:t xml:space="preserve">Quelle: </w:t>
      </w:r>
      <w:r>
        <w:t>https://mcp.opencaselaw.ch/entscheid/ge_gerichte_JTAPI_892_2021</w:t>
      </w:r>
    </w:p>
    <w:p>
      <w:r>
        <w:t>FR: GE_GERICHTE JTAPI/892/2021 du 2 septembre 2021</w:t>
      </w:r>
    </w:p>
    <w:p>
      <w:r>
        <w:t>IT: GE_GERICHTE JTAPI/892/2021 del 2 settembre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 En outre, les recourants disposent de la qualité pour recourir (art. 60 LPA), dès lors qu'ils sont propriétaires de fonds voisins de celui devant accueillir le projet de construction autorisé par la décision querellée et qu'ils font valoir des griefs liés au droit de la construction. Ils peuvent ainsi se prévaloir d'un intérêt digne de protection à son annulation ou à sa modification (cf. not. ATF 140 II 214 consid.</w:t>
      </w:r>
    </w:p>
    <w:p>
      <w:r>
        <w:rPr>
          <w:b/>
        </w:rPr>
        <w:t>E. 2.1</w:t>
      </w:r>
    </w:p>
    <w:p>
      <w:r>
        <w:t>; 139 II 499 consid. 2.2 ; arrêts du Tribunal fédéral 1C_593/2019 du 19 août 2020 consid. 1.2 ; 1C_155 du 11 décembre 2019 consid. 1).</w:t>
      </w:r>
    </w:p>
    <w:p>
      <w:r>
        <w:rPr>
          <w:b/>
        </w:rPr>
        <w:t>E. 3</w:t>
      </w:r>
    </w:p>
    <w:p>
      <w:r>
        <w:t>La LPA ne règle pas expressément la question de la substitution de partie, soit celle du remplacement d’une partie par une autre en cours d’instance suite à un transfert des droits ou des obligations litigieux. La substitution de partie est en principe possible en procédure administrative. La succession à titre universel, qui peut résulter d’une succession pour cause de mort, d’une faillite ou d’une fusion d’entreprises, provoque en vertu du droit fédéral un changement de plein droit de parties sans l’accord des autres parties à la procédure, sous réserve des procédures portant sur les droits strictement personnels et intransmissibles, qui deviennent sans objet (François BELLANGER, La qualité de partie à la procédure administrative, in Thierry TANQUEREL/François BELLANGER [éd.], Les tiers dans la procédure administrative : journée de droit administratif 2003, 2004, p. 33-55, p.53).</w:t>
      </w:r>
    </w:p>
    <w:p>
      <w:r>
        <w:rPr>
          <w:b/>
        </w:rPr>
        <w:t>E. 4</w:t>
      </w:r>
    </w:p>
    <w:p>
      <w:r>
        <w:t>En l’espèce, par contrat de vente du 20 novembre 2020, SDI Suisse Développement Immobilier SA et SPIH Société de Promotion Immobilière Helvétique SA ont cédé leurs parts de copropriété respectives (1/4 chacune) de la parcelle n°1'980, feuille 46 de la Commune de Vandœuvres à Promo Holding SA, également copropriétaire (1/2) de ladite parcelle. Promo Holding SA, devenue l'unique propriétaire de la parcelle en question et seule titulaire des droits de l'autorisation de construire dont est recours, s'est ainsi</w:t>
      </w:r>
    </w:p>
    <w:p>
      <w:r>
        <w:t>- 7/18 - A/3667/2020 substituée de plein droit aux sociétés en question comme partie intimée dans la présente procédure devant le tribunal.</w:t>
      </w:r>
    </w:p>
    <w:p>
      <w:r>
        <w:rPr>
          <w:b/>
        </w:rPr>
        <w:t>E.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6</w:t>
      </w:r>
    </w:p>
    <w:p>
      <w:r>
        <w:t>A titre préalable, les recourants sollicitent une comparution personnelle des parties et un transport sur place.</w:t>
      </w:r>
    </w:p>
    <w:p>
      <w:r>
        <w:rPr>
          <w:b/>
        </w:rPr>
        <w:t>E. 7</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 arrêts du Tribunal fédéral 1B 539/2019 du 19 mars 2020 consid. 3.1 ; 2C_203/2019 du 4 juillet 2019 consid. 2.1 et les arrêts cités ; ATA/285/2021 consid. 2a).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arrêts du Tribunal fédéral 2C_41/2020 du 24 juin 2020 consid. 5.1.1). Enfin, 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w:t>
      </w:r>
    </w:p>
    <w:p>
      <w:r>
        <w:rPr>
          <w:b/>
        </w:rPr>
        <w:t>E. 8</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tenir une audience de comparution personnelle. De même, le tribunal</w:t>
      </w:r>
    </w:p>
    <w:p>
      <w:r>
        <w:t>- 8/18 - A/3667/2020 dispose de toutes les pièces utiles, notamment des plans et photographies, de même que les outils disponibles sur Internet pour lui permettre de visualiser le projet litigieux, son futur emplacement, ses dimensions et le périmètre dans lequel il s'insère. Un transport sur place n'apporterait dès lors aucune information ou donnée pertinente supplémentaire. En conclusion, le tribunal de céans considère que le dossier est en état d'être jugé et rejette les demandes d'actes d'instruction formulées par les recourants.</w:t>
      </w:r>
    </w:p>
    <w:p>
      <w:r>
        <w:rPr>
          <w:b/>
        </w:rPr>
        <w:t>E. 9</w:t>
      </w:r>
    </w:p>
    <w:p>
      <w:r>
        <w:t>Les recourants font valoir en premier lieu une violation de l'art. 59 al. 4 LCI, le projet litigieux leur paraissant incompatible avec le caractère et l'harmonie du quartier. Ils font également valoir que la commune et la CA auraient rendu des préavis insuffisamment motivés s'agissant du bien-fondé de la dérogation accordée et que le projet ne respecterait pas certaines conditions requises par le plan directeur communal.</w:t>
      </w:r>
    </w:p>
    <w:p>
      <w:r>
        <w:rPr>
          <w:b/>
        </w:rPr>
        <w:t>E. 10</w:t>
      </w:r>
    </w:p>
    <w:p>
      <w:r>
        <w:t>En vertu de l'art. 1 al. 1 let. a LCI, nul ne peut, sur tout le territoire du canton, sans y avoir été autorisé, élever en tout ou partie une construction ou une installation (cf. aussi l'art. 22 al. 1 de loi fédérale sur l'aménagement du territoire du 22 juin 1979 - LAT - RS 700), qui prévoit qu'aucune construction ou installation ne peut être créée ou transformée sans autorisation de l'autorité compétente).</w:t>
      </w:r>
    </w:p>
    <w:p>
      <w:r>
        <w:rPr>
          <w:b/>
        </w:rPr>
        <w:t>E. 11</w:t>
      </w:r>
    </w:p>
    <w:p>
      <w:r>
        <w:t>Les al. 1, 4 et 5 de l’art. 59 LCI ont été modifiés le 1er octobre 2020 ; par ailleurs des al. 3bis, 4bis, 4ter ont été introduits à la même date. Ces modifications sont entrées en vigueur le 28 novembre 2020.</w:t>
      </w:r>
    </w:p>
    <w:p>
      <w:r>
        <w:t>Selon l’art. 156 LCI qui traite des dispositions transitoires, l’art. 59 al. 3bis, 4 et 5, dans sa teneur du 1er octobre 2020 s’applique aux demandes d’autorisation déposées après leur entrée en vigueur.</w:t>
      </w:r>
    </w:p>
    <w:p>
      <w:r>
        <w:t>En l’espèce, ce sont donc les anciennes dispositions qui s’appliquent.</w:t>
      </w:r>
    </w:p>
    <w:p>
      <w:r>
        <w:rPr>
          <w:b/>
        </w:rPr>
        <w:t>E. 12</w:t>
      </w:r>
    </w:p>
    <w:p>
      <w:r>
        <w:t>Dans sa teneur au moment où la décision querellée a été rendue (1er octobre 2020), l'art. 59 LCI relatif au rapport des surfaces en 5ème zone, disposait que la surface de la construction, exprimée en m2 de plancher (soit la surface brute de plancher de la totalité de la construction hors sol ; cf. art. 59 al. 2 LCI), ne doit pas excéder 25 % de la surface de la parcelle ;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(al. 1). Lorsque les circonstances le justifient et que cette mesure est compatible avec le caractère, l'harmonie et l'aménagement du quartier, le DT peut autoriser, après consultation de la commune et de la CA, un projet de construction en ordre contigu ou sous forme d'habitat groupé dont la surface de plancher habitable n'excède pas 40 % de la surface du terrain, 44 % lorsque la</w:t>
      </w:r>
    </w:p>
    <w:p>
      <w:r>
        <w:t>- 9/18 - A/3667/2020 construction est conforme à un standard de haute performance énergétique, et 48 % lorsque la construction est conforme à un standard de très haute performance énergétique, reconnue comme telle par le service compétent (al. 4 let. a). Avant d’autoriser un projet de construction en 5ème zone, dont la densité correspond à celle prévue par l’art. 59 al. 4 let. a LCI, le DT doit recueillir les préavis de la CA, respectivement celui de la commune du lieu de situation (art. 59 al. 4 let. a LCI).</w:t>
      </w:r>
    </w:p>
    <w:p>
      <w:r>
        <w:rPr>
          <w:b/>
        </w:rPr>
        <w:t>E. 13</w:t>
      </w:r>
    </w:p>
    <w:p>
      <w:r>
        <w:t>Dans le système de la LCI, les avis ou préavis des communes, des départements et organismes intéressés ne lient pas les autorités (art. 3 al. 3 LCI). Ils n'ont qu’un caractère consultatif, sauf dispositions contraires et expresses de la loi; l’autorité reste ainsi libre de s’en écarter pour des motifs pertinents et en raison d’un intérêt public supérieur (ATA/1157/2018 du 30 octobre 2018 et les références citées). Toutefois, lorsqu'un préavis est obligatoire, il convient de ne pas le minimiser (ATA/873/2018 du 28 août 2018 et les références citées). Dans le système prévu par l’art. 59 al. 4 let. a LCI, tant le préavis de la commune que celui de la CA ont cette caractéristique (ATA/873/2018 précité). Il n’en demeure pas moins que la délivrance de telles autorisations de construire demeure de la compétence exclusive du DT, à qui il appartient de statuer en tenant compte de tous les intérêts en présence (ATA/1273/2017 du 12 septembre 2017 consid. 11c et les références citées; ATA/1335/2019 du 3 septembre 2019). Ainsi, en particulier, lorsque la consultation de la CA est imposée par la loi, l'autorité de recours observe une certaine retenue dans son pouvoir d'examen lorsque le DT a suivi son préavis ; en effet, la CA, composée essentiellement de spécialistes, est plus à même de prendre position sur des questions qui font appel aux connaissances de ces derniers qu'une instance composée de magistrats (cf. not. ATA/1186/2017 du 22 août 2017 consid. 6c ; ATA/521/2017 du 9 mai 2017 consid. 5e et les références citées).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(ATA/724/2020 du 4 août 2020 consid. 3e ; ATA/639/2020 du 30 juin 2020 consid. 4d).</w:t>
      </w:r>
    </w:p>
    <w:p>
      <w:r>
        <w:rPr>
          <w:b/>
        </w:rPr>
        <w:t>E. 14</w:t>
      </w:r>
    </w:p>
    <w:p>
      <w:r>
        <w:t>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w:t>
      </w:r>
    </w:p>
    <w:p>
      <w:r>
        <w:t>- 10/18 - A/3667/2020 d'espèce;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(ATA/1435/2017 consid. 8b citant ATA/1274/2017 du 12 septembre 2017; ATA/828/2015 du 11 août 2015; ATA/653/2014 du 19 août 2014).</w:t>
      </w:r>
    </w:p>
    <w:p>
      <w:r>
        <w:rPr>
          <w:b/>
        </w:rPr>
        <w:t>E. 15</w:t>
      </w:r>
    </w:p>
    <w:p>
      <w:r>
        <w:t>L'art. 59 al. 4 let. a LCI est issu d'une modification législative qui visait à promouvoir une utilisation plus intensive du sol en 5ème zone à bâtir, de façon à répondre à la crise du logement sévissant à Genève (cf. ATA/1273/2017 du 12 septembre 2017 consid. 11c ; ATA/1460/2017 du 31 octobre 2017 consid. 2d). Le législateur a eu conscience de cette évolution et a souhaité encourager la réalisation de ces nouvelles formes d'habitat (groupé ou en ordre contigu), lorsqu'il a augmenté les indices d'utilisation du sol dérogatoires susceptibles d'être appliqués dans cette zone. Il a considéré cette évolution comme une réponse utile et nécessaire aux problèmes de l'exiguïté du territoire et de la pénurie de logements, manifestant sa volonté d'appliquer l'art. 59 al. 4 let. a LCI partout où les dérogations prescrites pourraient avoir lieu (cf. ATA/1485/2017 du 14 novembre 2017 consid. 8d ; ATA/1460/2017 du 31 octobre 2017 consid. 2d ; ATA/828/2015 du 11 août 2015 consid. 8b, confirmé par l'arrêt du Tribunal fédéral 1C_476/2015 du 3 août 2016).</w:t>
      </w:r>
    </w:p>
    <w:p>
      <w:r>
        <w:rPr>
          <w:b/>
        </w:rPr>
        <w:t>E. 16</w:t>
      </w:r>
    </w:p>
    <w:p>
      <w:r>
        <w:t>La règle générale veut qu'un préavis sans observation équivaut à un préavis favorable (ATA/778/2014 du 30 septembre 2014 consid. 3c et jurispr. cit.). Il arrive que des exigences de motivations plus élevées soient posées pour des préavis positifs, mais il s'agit de situations spéciales où l'application de la loi requiert une pesée particulièrement soignée des intérêts en présence (ATA/718/2012 du 30 octobre 2012 consid. 8). Selon une jurisprudence constante de la chambre administrative de la Cour de justice (ci-après : chambre administrative), les préavis favorables de la CA n'ont pas à être motivés (ATA/399/2020 du 23 avril 2020 consid. 5e et les références citées). Dans le prolongement de cette jurisprudence au sujet de l'absence d'obligation de motiver un préavis favorable, le tribunal de céans a récemment retenu que l'art. 59 al. 4 LCI ne saurait obliger la CA à motiver ses préavis sous l'angle des multiples critères d'après lesquels il est possible d'analyser l'intégration d'un projet dans son environnement, sauf à rendre son travail excessivement lourd, voire à paralyser son fonctionnement. Cela n'aboutit pas pour autant à l'opacité du dossier, puisque, d'une part, la motivation des préavis peut découler de manière plus ou moins explicite des demandes et remarques émises par l'instance concernée en vue de</w:t>
      </w:r>
    </w:p>
    <w:p>
      <w:r>
        <w:t>- 11/18 - A/3667/2020 modification du projet et que, d'autre part, si les circonstances paraissent le justifier, cette instance peut être invitée à donner des explications détaillées en procédure contentieuse (JTAPI 269/2021 du 17 mars 2021; JTAPI/604/2019 du 26 juin 2019). La jurisprudence a aussi précisé qu'il importe peu qu'un préavis soit succinctement motivé, dans la mesure où la position de l'autorité de préavis et les arguments de caractère architectural et esthétique qui la motivent peuvent être établis lors de l'instruction du recours (ATA/72/2007 du 20 février 2007, consid. 5b).</w:t>
      </w:r>
    </w:p>
    <w:p>
      <w:r>
        <w:rPr>
          <w:b/>
        </w:rPr>
        <w:t>E. 17</w:t>
      </w:r>
    </w:p>
    <w:p>
      <w:r>
        <w:t>En l'occurrence, il est inexact de prétendre que le préavis de la CA est dépourvu de toute motivation en ce qui concerne la dérogation à l'art. 59 al. 4 LCI. En effet, il ressort du dossier que la CA a rendu trois préavis dans lesquels elle a expliqué les motifs pour lesquels elle était favorable à une dérogation. Elle a notamment indiqué que le projet était de qualité et original, avec une implantation cohérente et une surface végétale préservée en suffisance. De même, le préavis de la commune du 11 juin 2020 apparaît dûment motivé. Celle-ci a en effet indiqué que le projet répondait aux modifications qu'elle avait requises à trois reprises, notamment la suppression du parking souterrain et de la rampe d'accès, ce qui augmentait la surface perméable de la parcelle. Par ailleurs, aux opinions favorables de la CA et de la commune, les recourants ont démontré par leurs écritures qu'ils avaient été parfaitement à même d'opposer un point de vue différent aux opinions favorables de la CA et de la commune et qu'ils savaient sous quel angle défendre leurs intérêts. Partant, le grief de manque de motivation des préavis en question doit être rejeté.</w:t>
      </w:r>
    </w:p>
    <w:p>
      <w:r>
        <w:rPr>
          <w:b/>
        </w:rPr>
        <w:t>E. 18</w:t>
      </w:r>
    </w:p>
    <w:p>
      <w:r>
        <w:t>Pour le surplus, sur l'argumentaire des recourants basé sur le non-respect du plan directeur de la commune de Vandoeuvre, il convient de rappeler que les plans directeurs communaux ne produisant aucun effet juridique à l'égard des particuliers qui ne peuvent d'ailleurs formuler aucun recours à leur encontre (art. 10 al. 8 de la loi d'application de la loi fédérale sur l'aménagement du territoire du 4 juin 1987 - LaLAT; arrêt du Tribunal fédéral 1C_423/2016 consid 4.2 et références citées), De plus, la commune et le SPI ont tous deux préavisé favorablement le projet, démontrant ainsi qu'ils le considéraient comme conforme au plan directeur communal. En tout état, et pour le surplus, un projet de construction conforme au droit cantonal ne peut être refusé au seul motif qu'il contreviendrait à un plan directeur communal (ATF 1C_257/2013 du 13 janvier 2014, consid. 5.3). Ce grief sera donc également rejeté.</w:t>
      </w:r>
    </w:p>
    <w:p>
      <w:r>
        <w:rPr>
          <w:b/>
        </w:rPr>
        <w:t>E. 19</w:t>
      </w:r>
    </w:p>
    <w:p>
      <w:r>
        <w:t>Il sied encore de relever que tous les préavis des instances spécialisées se sont révélés favorables au projet, notamment ceux de la CA et de la commune, préavis que l'art. 59 al. 4 let. a LCI exige. En particulier, ces dernières n'émettent pas de réserve quant à l'intégration du projet dans son environnement bâti. Or, de</w:t>
      </w:r>
    </w:p>
    <w:p>
      <w:r>
        <w:t>- 12/18 - A/3667/2020 jurisprudence constante, chaque fois que l’autorité administrative suit les préavis des instances consultatives, l’autorité de recours observe une certaine retenue, fonction de son aptitude à trancher le litige. Pour le surplus, les recourants ne font que substituer leur propre appréciation à celle du département sur la question de l’adéquation de la construction avec son environnement bâti. C'est donc conformément à son pouvoir d'appréciation que le département, se fondant sur les préavis imposés par la loi, a autorisé une dérogation au rapport des surfaces dans le sens de l’art. 59 al. 4 LCI, étant rappelé que, comme déjà dit supra, ces préavis n'ont pas à être motivés. Le tribunal n'a ainsi pas à substituer sa propre appréciation à celle de l'autorité intimée, qui s'est elle-même reposée sur les préavis des instances de préavis compétentes, composées de spécialistes disposant des compétences utiles pour évaluer la situation.</w:t>
      </w:r>
    </w:p>
    <w:p>
      <w:r>
        <w:rPr>
          <w:b/>
        </w:rPr>
        <w:t>E. 20</w:t>
      </w:r>
    </w:p>
    <w:p>
      <w:r>
        <w:t>De plus, contrairement aux allégations des recourants, et comme relevé par le DT dans sa duplique du 16 avril 2021, le quartier a déjà fait l’objet de densifications similaires (DD 109'324), à savoir quatre villas mitoyennes autorisées et construites sur la parcelle n°1910, devenue les parcelles n°3'225, 3'226, 3'227 et 3'228. Cette DD 109'324, dont une copie a été produite par le DT et figure au dossier, a en outre été délivrée en application de la dérogation prévue à l'art. 59 al. 4 LCI avec une densité de 45,88%. Ainsi, contrairement à la position des recourants, la construction de trois villas contigües sur une parcelle de 1'630 m2 est acceptable. A toutes fins utiles, le tribunal relèvera que, quand bien même aucune dérogation n'aurait été délivrée dans le quartier auparavant, cela ne constituerait nullement un motif de refus d'octroi de l'autorisation sollicitée en application de l'art. 59 al. 4 LCI. Par ailleurs, à la lecture de l'extrait du plan cadastral ainsi que des coupes et gabarits établis par le géomètre officiel et visés ne varietatur, le tribunal constate que la distance entre la construction en surface et les limites de propriété est d'au moins 5 m sur chaque côté de la construction, dans le respect des prescriptions de l'art. 69 al. 2 LCI. A cet égard, l'argument des recourants selon lequel les constructions existantes seraient toutes placées en « net retrait » de la limite privative des parcelles, évitant un front bâti aux abords des chemins, doit également être rejeté. D'autre part, le fait que d'autres villas du quartier seraient construites au-delà de 5 m à compter de la limite parcellaire n'est pas pertinent, seul le respect de la distance légale minimale de 5m étant déterminant. Par conséquent, au vu de ce qui précède, soit tout particulièrement des préavis favorables de la commune et de la CA, le tribunal considère que le DT n'a pas abusé ni mésusé de son pouvoir d'appréciation en octroyant une dérogation au projet en application de l’art. 59 al. 4 LCI.</w:t>
      </w:r>
    </w:p>
    <w:p>
      <w:r>
        <w:t>- 13/18 - A/3667/2020</w:t>
      </w:r>
    </w:p>
    <w:p>
      <w:r>
        <w:rPr>
          <w:b/>
        </w:rPr>
        <w:t>E. 21</w:t>
      </w:r>
    </w:p>
    <w:p>
      <w:r>
        <w:t>Les recourants font encore valoir que le projet dépasse le coefficient d'utilisation du sol (44%) dans la mesure où la surface brute de plancher serait de 718m2 alors qu'elle ne devrait pas dépasser 717,2 m2, ce qui est formellement contesté par la société intimée, qui indique que la surface brute de plancher totale du projet est exactement de 717,20 m2. Selon une jurisprudence constante de la chambre administrative, une marge d'erreur de 3% est admissible dans le calcul de la surface brute (ATA 206/2021 du</w:t>
      </w:r>
    </w:p>
    <w:p>
      <w:r>
        <w:rPr>
          <w:b/>
        </w:rPr>
        <w:t>E. 23</w:t>
      </w:r>
    </w:p>
    <w:p>
      <w:r>
        <w:t>Les recourants avancent d'autre part que la réalisation du projet entrainerait des inconvénients graves et des dangers pour les piétons du fait de l'augmentation du trafic dans le chemin de desserte de la parcelle visée et du manque de places de stationnement.</w:t>
      </w:r>
    </w:p>
    <w:p>
      <w:r>
        <w:rPr>
          <w:b/>
        </w:rPr>
        <w:t>E. 24</w:t>
      </w:r>
    </w:p>
    <w:p>
      <w:r>
        <w:t>Selon l'art. 14 al. 1 LCI, le DT peut refuser des autorisations de construire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w:t>
      </w:r>
    </w:p>
    <w:p>
      <w:r>
        <w:t>- 14/18 - A/3667/2020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(ATA/1098/2019 du 25 juin 2019 consid. 5a; ATA/1724/2019 du 26 novembre 2019 consid. 8b ; ATA/1529/2019 du 15 octobre 2019 consid. 8).</w:t>
      </w:r>
    </w:p>
    <w:p>
      <w:r>
        <w:rPr>
          <w:b/>
        </w:rPr>
        <w:t>E. 25</w:t>
      </w:r>
    </w:p>
    <w:p>
      <w:r>
        <w:t>Selon la jurisprudence constante, l'accroissement du trafic routier, s'il est raisonnable, ne crée pas une gêne durable au sens de l'art. 14 LCI. De fait, l'accroissement du trafic engendré par de nouvelles constructions conformes à la destination de la zone ne constitue pas un inconvénient grave au sens de cette disposition (cf. not. ATA/285/2021 du 2 mars 2021; ATA/259/2020 du 3 mars 2020 consid. 7b). En particulier, l'aptitude d'une voie d'accès à assurer la desserte d'une parcelle n'exige pas que soient garanties des possibilités de croisement sur toute sa longueur ; il suffit que ces possibilités soient suffisantes pour assurer la sécurité des usagers (cf. arrêts du Tribunal fédéral 1C_225/2017 du 16 janvier 2018 consid. 4.2 ; 1C_148/2009 du 29 juillet 2009 consid. 4.2 ; ATA/1102/2020 du 3 novembre 2020 consid. 3c).</w:t>
      </w:r>
    </w:p>
    <w:p>
      <w:r>
        <w:rPr>
          <w:b/>
        </w:rPr>
        <w:t>E. 26</w:t>
      </w:r>
    </w:p>
    <w:p>
      <w:r>
        <w:t>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arrêt du Tribunal fédéral 1C_243/2013 du 27 septembre 2013 consid. 5.1). La chambre administrative a notamment retenu que la construction de trois villas nouvelles ne saurait générer d'inconvénients graves pour le voisinage (ATA/461/2020 du 7 mai 2020 consid. 11c et les références citées), ou encore que la construction d'un habitat groupé de huit logements ne compromettait pas la desserte par un chemin où un croisement à vue était possible (ATA/638/2020 du</w:t>
      </w:r>
    </w:p>
    <w:p>
      <w:r>
        <w:rPr>
          <w:b/>
        </w:rPr>
        <w:t>E. 30</w:t>
      </w:r>
    </w:p>
    <w:p>
      <w:r>
        <w:t>Quant à la question du « parking sauvage » soulevée par les recourants, elle excède le cadre du litige, étant souligné que les véhicules parqués sur la voie publique en un lieu interdit ou gênant la circulation, de même que les véhicules parqués sans droit sur terrain privé peuvent être enlevés, saisis ou mis en fourrière (cf. art. 11 let. c et f de la loi d'application de la législation fédérale sur la circulation routière du 18 décembre 1987 - LaLCR - H 1 05), le prononcé de telles mesures échappant naturellement à la compétence tant du DT que du tribunal.</w:t>
      </w:r>
    </w:p>
    <w:p>
      <w:r>
        <w:rPr>
          <w:b/>
        </w:rPr>
        <w:t>E. 31</w:t>
      </w:r>
    </w:p>
    <w:p>
      <w:r>
        <w:t>Le recourants allèguent également que les sous-sols seraient aménagés de façon à pouvoir être rendus habitables, disposant de salles de bains et des pièces suffisamment spacieuses pour y aménager des chambres avec les ouvertures utiles.</w:t>
      </w:r>
    </w:p>
    <w:p>
      <w:r>
        <w:rPr>
          <w:b/>
        </w:rPr>
        <w:t>E. 32</w:t>
      </w:r>
    </w:p>
    <w:p>
      <w:r>
        <w:t>Si le voisin direct de la construction ou de l'installation litigieuse a en principe qualité pour recourir, il ne peut pas présenter n'importe quel grief ; il ne se prévaut d'un intérêt digne de protection, lorsqu'il invoque des dispositions édictées dans l'intérêt général ou dans l'intérêt de tiers, que si ces normes peuvent avoir une influence sur sa situation de fait ou de droit (ATF 141 II 50 consid. 2.1 ; 139 II 499 consid. 2.2 ; 137 II 30 consid. 2.2.3 ; arrêts du Tribunal fédéral 1C_378/2019 du 17 juin 2020 consid. 1.2 ). A défaut, il ne peut se prévaloir d'un intérêt digne de protection (cf. ATF 139 II 499 consid. 2.2 ; 137 II 30 consid. 2.2.3 ; 133 II 249 consid. 1.3) et il n'y a pas lieu d'entrer en matière sur le grief soulevé (cf. arrêts du Tribunal fédéral 1C_27/2018 du 6 avril 2018 consid. 1.1 ; 1C_334/2016 du 18 octobre 2016 consid. 4.1). Un intérêt digne de protection est en principe dénié au voisin lorsque l'objet du litige concerne l'application de règles relatives à l'aménagement intérieur des constructions, puisque l'impact visuel de la construction ne serait de toute manière pas modifié (ATF 133 II 249 consid. 1.3.2 ; arrêt du Tribunal fédéral 1C_565/2012 du 23 janvier 2013 consid. 2.1-2.3, publié in SJ 2013 I 526).</w:t>
      </w:r>
    </w:p>
    <w:p>
      <w:r>
        <w:rPr>
          <w:b/>
        </w:rPr>
        <w:t>E. 33</w:t>
      </w:r>
    </w:p>
    <w:p>
      <w:r>
        <w:t>En l'occurrence, les recourants n'indiquent pas quel intérêt digne de protection serait mis en cause par la configuration du sous-sol des constructions litigeuse, ni de quelle manière l'aménagement intérieur de ceux-ci pourrait avoir une influence de fait ou droit sur leur situation.</w:t>
      </w:r>
    </w:p>
    <w:p>
      <w:r>
        <w:t>- 17/18 - A/3667/2020 Ce grief sera donc déclaré irrecevable.</w:t>
      </w:r>
    </w:p>
    <w:p>
      <w:r>
        <w:rPr>
          <w:b/>
        </w:rPr>
        <w:t>E. 34</w:t>
      </w:r>
    </w:p>
    <w:p>
      <w:r>
        <w:t>Enfin, quant au grief tiré du non-respect de la servitude de non bâtir inscrite sur la parcelle n°1980 en faveur de l'Etat de Genève, il sera également rejeté dans la mesure où il ressort des pièces du dossier que l'Etat de Genève y a renoncé et a dans l'intervalle sollicité sa radiation.</w:t>
      </w:r>
    </w:p>
    <w:p>
      <w:r>
        <w:rPr>
          <w:b/>
        </w:rPr>
        <w:t>E. 35</w:t>
      </w:r>
    </w:p>
    <w:p>
      <w:r>
        <w:t>Il découle de ce qui précède que la décision attaquée est conforme au droit. En tous points mal fondé, le recours sera par conséquent rejeté.</w:t>
      </w:r>
    </w:p>
    <w:p>
      <w:r>
        <w:rPr>
          <w:b/>
        </w:rPr>
        <w:t>E. 36</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1'500.-; il est partiellement couvert par l’avance de frais de CHF 900.- versée à la suite du dépôt du recours.</w:t>
      </w:r>
    </w:p>
    <w:p>
      <w:r>
        <w:rPr>
          <w:b/>
        </w:rPr>
        <w:t>E. 37</w:t>
      </w:r>
    </w:p>
    <w:p>
      <w:r>
        <w:t>Vu l'issue du litige, une indemnité de procédure de CHF 2'000.-, à la charge des recourants, pris conjointement et solidairement, sera allouée à Promo Holding SA (art. 87 al. 2 à 4 LPA et 6 RFPA).</w:t>
      </w:r>
    </w:p>
    <w:p>
      <w:r>
        <w:t>- 18/18 - A/3667/2020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