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JTAPI/885/2024 vom 9. September 2024</w:t>
      </w:r>
    </w:p>
    <w:p>
      <w:r>
        <w:t>GE Cour de justice, 2024-09-09, FR</w:t>
      </w:r>
    </w:p>
    <w:p>
      <w:r>
        <w:rPr>
          <w:b/>
        </w:rPr>
        <w:t xml:space="preserve">Quelle: </w:t>
      </w:r>
      <w:r>
        <w:t>https://mcp.opencaselaw.ch/entscheid/ge_gerichte_JTAPI_885_2024</w:t>
      </w:r>
    </w:p>
    <w:p>
      <w:r>
        <w:t>FR: GE_GERICHTE JTAPI/885/2024 du 9 septembre 2024</w:t>
      </w:r>
    </w:p>
    <w:p>
      <w:r>
        <w:t>IT: GE_GERICHTE JTAPI/885/2024 del 9 settembre 2024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Au vu de ce qui précède, le recours doit être admis partiellement et le dossier, renvoyé à l’AFC-GE pour nouvelle taxation.</w:t>
      </w:r>
    </w:p>
    <w:p>
      <w:r>
        <w:rPr>
          <w:b/>
        </w:rPr>
        <w:t>E. 8</w:t>
      </w:r>
    </w:p>
    <w:p>
      <w:r>
        <w:t>En application des art. 52 al. 1 LPFisc, 87 al. 1 de la loi sur la procédure administrative du 12 septembre 1985 (LPA - E 5 10) et 1 et 2 du règlement sur les frais, émoluments et indemnités en procédure administrative du 30 juillet 1986 (RFPA - E 5 10.03), la recourante, qui obtient partiellement gain de cause, est condamnée au paiement d’un émolument réduit s'élevant à CHF 500.- ; il est couvert par l’avance de frais versée à la suite du dépôt du recours. Le solde de l’avance de frais de CHF 200.- lui sera restitué. Vu l'issue du litige, une indemnité de procédure de CHF 800.-, à la charge de l'État de Genève, soit pour lui l’administration fiscale cantonale, sera allouée à la recourante (art. 87 al. 2 à 4 LPA et 6 RFPA).</w:t>
      </w:r>
    </w:p>
    <w:p>
      <w:r>
        <w:t>- 6/6 - A/3209/2023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