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JTAPI/879/2025 vom 18. August 2025</w:t>
      </w:r>
    </w:p>
    <w:p>
      <w:r>
        <w:t>GE Cour de justice, 2025-08-18, FR</w:t>
      </w:r>
    </w:p>
    <w:p>
      <w:r>
        <w:rPr>
          <w:b/>
        </w:rPr>
        <w:t xml:space="preserve">Quelle: </w:t>
      </w:r>
      <w:r>
        <w:t>https://mcp.opencaselaw.ch/entscheid/ge_gerichte_JTAPI_879_2025</w:t>
      </w:r>
    </w:p>
    <w:p>
      <w:r>
        <w:t>FR: GE_GERICHTE JTAPI/879/2025 du 18 août 2025</w:t>
      </w:r>
    </w:p>
    <w:p>
      <w:r>
        <w:t>IT: GE_GERICHTE JTAPI/879/2025 del 18 agosto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En invoquant les empêchements dont son comptable a été victime en 2024, la recourante admet, à tout le moins implicitement, la tardiveté de sa réclamation du 2 décembre 2024 et sollicite une restitution du délai de réclamation pour ce motif. Ce faisant, elle demande l’examen au fond des taxations d’office du 5 septembre 2024.</w:t>
      </w:r>
    </w:p>
    <w:p>
      <w:r>
        <w:rPr>
          <w:b/>
        </w:rPr>
        <w:t>E. 4</w:t>
      </w:r>
    </w:p>
    <w:p>
      <w:r>
        <w:t>En matière de décision d’irrecevabilité, seule cette question peut faire l’objet du recours et non pas la taxation en tant que telle. Dans un tel cas, l’autorité de recours doit d’abord examiner si les conditions formelles de la recevabilité (forme écrite, délai, motivation, moyen de preuve, etc.) sont ou non remplies et, si tel n’est pas le cas, elle doit rejeter le recours déposé devant elle sans examiner elle-même le détail de la taxation (cf. ATF 131 II 548 consid. 2.3 ; 123 II 552 consid. 4c ; arrêt du Tribunal fédéral 2C_227/2021 du 16 avril 2021 consid. 2.2). Il en résulte que les conclusions de la recourante tendant à la rectification des taxations précitées sont irrecevables.</w:t>
      </w:r>
    </w:p>
    <w:p>
      <w:r>
        <w:rPr>
          <w:b/>
        </w:rPr>
        <w:t>E. 5</w:t>
      </w:r>
    </w:p>
    <w:p>
      <w:r>
        <w:t>Aux termes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w:t>
      </w:r>
    </w:p>
    <w:p>
      <w:r>
        <w:t>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 du Tribunal fédéral 2C_509/2015 du 2 février 2016 consid. 6.1 et les références citées).</w:t>
      </w:r>
    </w:p>
    <w:p>
      <w:r>
        <w:rPr>
          <w:b/>
        </w:rPr>
        <w:t>E. 6</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w:t>
      </w:r>
    </w:p>
    <w:p>
      <w:r>
        <w:t>- 4/6 - A/287/2025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 ; ATA/286/2020 du</w:t>
      </w:r>
    </w:p>
    <w:p>
      <w:r>
        <w:rPr>
          <w:b/>
        </w:rPr>
        <w:t>E. 6.1</w:t>
      </w:r>
    </w:p>
    <w:p>
      <w:r>
        <w:t>; 2C_280/2013 du 6 avril 2013 ; ATA/150/2021 du 9 février 2021 consid. 5b ; ATA/1127/2020 du 10 novembre 2020 consid. 4c).</w:t>
      </w:r>
    </w:p>
    <w:p>
      <w:r>
        <w:rPr>
          <w:b/>
        </w:rPr>
        <w:t>E. 10</w:t>
      </w:r>
    </w:p>
    <w:p>
      <w:r>
        <w:t>Selon la jurisprudence, lorsqu’il mandate un tiers,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w:t>
      </w:r>
    </w:p>
    <w:p>
      <w:r>
        <w:t>- 5/6 - A/287/2025 par lui-même par la possibilité de se soustraire à sa responsabilité en se retranchant derrière son représentant pour des fautes qui lui sont imputables (cf. arrêt du Tribunal fédéral 2C_78/2019 du 20 septembre 2019 consid. 6.3), étant rappelé que, selon la jurisprudence constante du Tribunal fédéral et de la chambre administrative de la Cour de justice, les actes du représentant sont opposables au représenté comme les siens propres (arrêts du Tribunal fédéral 2C_577/2013 du 4 février 2014 consid.</w:t>
      </w:r>
    </w:p>
    <w:p>
      <w:r>
        <w:rPr>
          <w:b/>
        </w:rPr>
        <w:t>E. 11</w:t>
      </w:r>
    </w:p>
    <w:p>
      <w:r>
        <w:t>En l’espèce, il faut tout d’abord relever qu’avec sa réclamation du 2 décembre 2024, la recourante n’a pas déposé de requête motivée tendant à la restitution du délai, ni s’est prévalue d’un motif d’empêchement. Quoi qu’il en soit, les accidents subis par son comptable en 2024 ne constituent manifestement pas un motif de restitution du délai, puisque cela ne l’empêchait en rien de mandater un tiers pour agir à sa place en temps utile. Du reste, au vu des certificats médicaux versés au dossier, entre le</w:t>
      </w:r>
    </w:p>
    <w:p>
      <w:r>
        <w:rPr>
          <w:b/>
        </w:rPr>
        <w:t>E. 16</w:t>
      </w:r>
    </w:p>
    <w:p>
      <w:r>
        <w:t>septembre 2024 et le 5 janvier 2025, son comptable n’a été en arrêt de travail qu’à raison de 50 %. Une restitution du délai pour ce motif est donc exclue. Pour le surplus, elle ne démontre pas, ni n’allègue d’ailleurs, la survenance d'un cas de force majeure, qui l’aurait concrètement empêchée d'agir en temps utile ou de désigner un tiers pour s'en charger à sa place. Par ailleurs, comme l’a relevé l'AFC-GE, les conditions d’une révision des bordereaux concernés ne sont manifestement pas remplies en l’espèce, dès lors que la recourante avance les motifs de fond qu’elle devait faire valoir par la voie ordinaire de réclamation (cf. art. 147 al. 2 LIFD et 55 al. 2 LPFisc). 12. Au vu de ce qui précède, le recours doit être rejeté. 13.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- 6/6 - A/287/2025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