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JTAPI/878/2025 vom 6. August 2025</w:t>
      </w:r>
    </w:p>
    <w:p>
      <w:r>
        <w:t>GE Cour de justice, 2025-08-06, FR</w:t>
      </w:r>
    </w:p>
    <w:p>
      <w:r>
        <w:rPr>
          <w:b/>
        </w:rPr>
        <w:t xml:space="preserve">Quelle: </w:t>
      </w:r>
      <w:r>
        <w:t>https://mcp.opencaselaw.ch/entscheid/ge_gerichte_JTAPI_878_2025</w:t>
      </w:r>
    </w:p>
    <w:p>
      <w:r>
        <w:t>FR: GE_GERICHTE JTAPI/878/2025 du 6 août 2025</w:t>
      </w:r>
    </w:p>
    <w:p>
      <w:r>
        <w:t>IT: GE_GERICHTE JTAPI/878/2025 del 6 agosto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w:t>
      </w:r>
    </w:p>
    <w:p>
      <w:r>
        <w:t>- 5/7 - A/2775/2025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il apparait que le couple traverse une période difficile. Même si les déclarations sont contradictoires sur certains aspects, il peut être retenu que des tensions existent au sein du couple et il paraît plausible qu'il y ait eu des pressions psychologiques exercées par M. B______. Il ressort en outre des déclarations faites par ce dernier ce jour en audience qu'il admet ne pas avoir respecté la mesure d'éloignement puisqu'il s'est approché de Mme A______ et a continué à lui écrire. Dans ces circonstances, vu en particulier le caractère récent des événements, de la situation visiblement conflictuelle dans laquelle le couple se trouve, la perspective qu'ils se retrouvent immédiatement sous le même toit apparaît inopportune, quand bien même il est évident qu'une mesure d'éloignement administrative ne permettra pas, à elle seule, de régler la situation. La mesure d'éloignement a pour objectif d'empêcher la réitération d'actes de violence, mais non de permettre aux personnes concernées de s'organiser pour modifier le cadre et les modalités de leurs relations personnelles. Cela étant, le tribunal a acquis la conviction que le risque de réitération de violences apparaît suffisamment réel et concret, notamment en raison du fait que M. B______ ne respecte pas la mesure. Pour ces motifs, il apparaît justifié que M. B______ demeure éloigné pendant un temps encore, ce qui tend à admettre le bien-fondé de la demande de prolongation formée par son épouse. Au vu des éléments qui précèdent, une durée de trente jours n'apparaît pas disproportionnée. Si cette prolongation, qui apparaît utile, nécessaire et opportune, comporte à l'évidence des désagréments pour M. B______, l'atteinte à sa liberté personnelle en résultant demeure acceptable, étant observé qu'aucune autre mesure moins incisive ne serait envisageable pour atteindre le but fixé par la LVD (cf. ATA/619/2020 du</w:t>
      </w:r>
    </w:p>
    <w:p>
      <w:r>
        <w:t>- 6/7 - A/2775/2025 23 juin 2020 consid. 9 ; ATA/527/2020 du 26 mai 2020 consid. 10). Cette prolongation le sera sous la menace de l'art. 292 CP, dont la teneur figure ci-dessus. Elle prendra donc fin le 17 septembre 2025 à 17h00.</w:t>
      </w:r>
    </w:p>
    <w:p>
      <w:r>
        <w:rPr>
          <w:b/>
        </w:rPr>
        <w:t>E. 5</w:t>
      </w:r>
    </w:p>
    <w:p>
      <w:r>
        <w:t>En conclusion, le tribunal prolongera la mesure d'éloignement en cause jusqu'au 17 septembre à 17h00, en ce qu'elle fait interdiction à M. B______ de s'approcher ou de pénétrer à l'adresse privée de Mme A______, située, rue ______ [GE] et de contacter ou de s'approcher de celle-ci.</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- 7/7 - A/2775/2025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