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JTAPI/878/2022 vom 31. August 2022</w:t>
      </w:r>
    </w:p>
    <w:p>
      <w:r>
        <w:t>GE Cour de justice, 2022-08-31, FR</w:t>
      </w:r>
    </w:p>
    <w:p>
      <w:r>
        <w:rPr>
          <w:b/>
        </w:rPr>
        <w:t xml:space="preserve">Quelle: </w:t>
      </w:r>
      <w:r>
        <w:t>https://mcp.opencaselaw.ch/entscheid/ge_gerichte_JTAPI_878_2022</w:t>
      </w:r>
    </w:p>
    <w:p>
      <w:r>
        <w:t>FR: GE_GERICHTE JTAPI/878/2022 du 31 août 2022</w:t>
      </w:r>
    </w:p>
    <w:p>
      <w:r>
        <w:t>IT: GE_GERICHTE JTAPI/878/2022 del 31 agosto 2022</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t>- 7/13 - A/980/2022</w:t>
      </w:r>
    </w:p>
    <w:p>
      <w:r>
        <w:rPr>
          <w:b/>
        </w:rPr>
        <w:t>E. 3</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ATA/744/2014 du 23 septembre 2014 consid. 2a ; ATA/751/2013 du 12 novembre 2013 consid. 6).</w:t>
      </w:r>
    </w:p>
    <w:p>
      <w:r>
        <w:rPr>
          <w:b/>
        </w:rPr>
        <w:t>E. 4</w:t>
      </w:r>
    </w:p>
    <w:p>
      <w:r>
        <w:t>Selon l'art. 61 al. 1 LPA, le recours peut être formé pour violation du droit y compris l'excès et l'abus du pouvoir d'appréciation (let. a) ou pour constatation inexacte ou incomplète des faits pertinents (let. b). Les juridictions administratives n'ont pas compétence pour apprécier l'opportunité de la décision attaquée, sauf exception prévue par la loi, non réalisée en l'espèce (art. 61 al. 2 LPA). Le juge doit vérifier si l'administration n'a pas abusé de son pouvoir d'appréciation. Dans ce cadre le principe de proportionnalité prend une place majeure. Il impose une pesée des intérêts militant pour et contre la mesure en cause (Thierry TANQUEREL, La pesée des intérêts vue par le juge administratif in La pesée globale des intérêts, Droit de l'environnement et de l'aménagement du territoire, 1996, p. 189 ss).</w:t>
      </w:r>
    </w:p>
    <w:p>
      <w:r>
        <w:rPr>
          <w:b/>
        </w:rPr>
        <w:t>E. 5</w:t>
      </w:r>
    </w:p>
    <w:p>
      <w:r>
        <w:t>En l'espèce, les recourants contestent le montant de l’amende du 4 mars 2022 de CHF 5'000.- pour non-respect des ordres successifs de remise en état depuis 2017, reconnaissant leur part de responsabilité dans le mauvais suivi du dossier.</w:t>
      </w:r>
    </w:p>
    <w:p>
      <w:r>
        <w:rPr>
          <w:b/>
        </w:rPr>
        <w:t>E. 5.1</w:t>
      </w:r>
    </w:p>
    <w:p>
      <w:r>
        <w:t>; 6B_642/2012 du 22 janvier 2013 consid. 2.1.4). Un recours ne saurait toutefois être admis simplement pour améliorer ou compléter un considérant lorsque la décision rendue apparaît conforme au droit (ATF 127 IV 101 consid. 2c et les références citées ; plus récemment arrêts du Tribunal fédéral 6B_28/2016 du 10 octobre 2016 consid. 5.1 ; 6B_111/2015 du 3 mars 2016 consid. 2.2).</w:t>
      </w:r>
    </w:p>
    <w:p>
      <w:r>
        <w:rPr>
          <w:b/>
        </w:rPr>
        <w:t>E. 6</w:t>
      </w:r>
    </w:p>
    <w:p>
      <w:r>
        <w:t>Le département peut infliger des amendes et, en pratique, il est fréquent qu’il commence par ordonner une mesure administrative telle qu’une remise en état en réservant la prise ultérieure de sanctions, dont il décidera du principe et de la quotité en fonction du respect de la mesure administrative. Le non-respect d’un ordre de remise en état peut faire l’objet d’une sanction (Mark MULLER, L’autorisation de construire/ VI. – X., Droit genevois de la construction, 2021, p. 176).</w:t>
      </w:r>
    </w:p>
    <w:p>
      <w:r>
        <w:rPr>
          <w:b/>
        </w:rPr>
        <w:t>E. 7</w:t>
      </w:r>
    </w:p>
    <w:p>
      <w:r>
        <w:t>Est passible d'une amende administrative de CHF 100.- à CHF 150'000.- tout contrevenant à la LCI, à ses règlements d'application ainsi qu'aux ordres du département (art. 137 al. 1 LCI). Toutefois, lorsqu'une construction, une installation ou tout autre ouvrage a été entrepris sans autorisation, mais que les travaux sont conformes aux prescriptions légales, le montant maximum de l'amende est de CHF 20'000.- (art. 137 al. 2 LCI). Il est tenu compte, dans la fixation du montant de l'amende, du degré de gravité de l'infraction (art. 137 al. 3 LCI).</w:t>
      </w:r>
    </w:p>
    <w:p>
      <w:r>
        <w:t>- 8/13 - A/980/2022</w:t>
      </w:r>
    </w:p>
    <w:p>
      <w:r>
        <w:rPr>
          <w:b/>
        </w:rPr>
        <w:t>E. 8</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(ATA/508/2020 du 26 mai 2020 consid. 4 ; ATA/206/2020 du 25 février 2020, consid. 4b ; ATA/13/2020 du 7 janvier 2020, consid. 7b). En vertu de l'art. 1 let. a de la loi pénale genevoise du 17 novembre 2006 (LPG - E 4 05), il y en effet lieu de faire application des dispositions générales (art. 1 à 110) du code pénal suisse du 21 décembre 1937 (CP - RS 311.0). La punissabilité du contrevenant exige que celui-ci ait commis une faute.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(art. 5 al. 2 de la Constitution fédérale de la Confédération suisse du 18 avril 1999 (Cst. - RS 101) ; ATA/206/2020 précité, consid. 4c ; ATA/13/2020 précité, consid. 7c et les références citées).</w:t>
      </w:r>
    </w:p>
    <w:p>
      <w:r>
        <w:rPr>
          <w:b/>
        </w:rPr>
        <w:t>E. 9</w:t>
      </w:r>
    </w:p>
    <w:p>
      <w:r>
        <w:t>L'autorité qui prononce une mesure administrative ayant le caractère d'une sanction doit également faire application des règles contenues aux art. 47 ss CP (principes applicables à la fixation de la peine).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 134 IV 17 consid. 2.1 ; 129 IV 6 consid. 6.1 ; arrêts du Tribunal fédéral 6B_28/2016 du 10 octobre 2016 consid. 5.1 ; 6B_1276/2015 du 29 juin 2016 consid. 2.1 ; cf. aussi ATA/124/2016 du 9 février 2016 ; ATA/1305/2015 du 8 décembre 2015 ; ATA/824/2015 du 11 août 2015 ; ATA/569/2015 du 2 juin 2015 ; ATA/886/2014 du 11 novembre 2014 ; ATA/791/2013 du 3 décembre 2013 ; ATA/74/2013 du 6 février 2013).</w:t>
      </w:r>
    </w:p>
    <w:p>
      <w:r>
        <w:rPr>
          <w:b/>
        </w:rPr>
        <w:t>E. 10</w:t>
      </w:r>
    </w:p>
    <w:p>
      <w:r>
        <w:t>L'art. 47 CP confère un large pouvoir d'appréciation à l'autorité. Par conséquent, celle-ci ne viole le droit en fixant la peine que si elle sort du cadre légal, si elle se fonde sur des critères étrangers à l'art. 47 CP, si elle omet de prendre en considération des éléments d'appréciation prévus par cette disposition ou, enfin, si la peine qu'elle prononce est exagérément sévère ou clémente au point de</w:t>
      </w:r>
    </w:p>
    <w:p>
      <w:r>
        <w:t>- 9/13 - A/980/2022 constituer un abus du pouvoir d'appréciation (cf. ATF 136 IV 55 consid. 5.6 ; 135 IV 130 consid. 5.3.1 ; 134 IV 17 consid. 2.1 ; 129 IV 6 consid. 6.1 et les références citées ; arrêts du Tribunal fédéral 6B_28/2016 du 10 octobre 2016 consid. 5.1 ; 6B_1276/2015 du 29 juin 2016 consid. 2.1).</w:t>
      </w:r>
    </w:p>
    <w:p>
      <w:r>
        <w:rPr>
          <w:b/>
        </w:rPr>
        <w:t>E. 11</w:t>
      </w:r>
    </w:p>
    <w:p>
      <w:r>
        <w:t>Selon la jurisprudence établie en droit pénal, le juge doit, dans sa décision, exposer les éléments essentiels relatifs à l'acte ou à l'auteur qu'il prend en compte (art. 50 CP), de sorte que le condamné doit pouvoir connaître les aspects pertinents qui ont été pris en considération et comment ils ont été appréciés. Le juge peut passer sous silence les éléments qui, sans abus du pouvoir d'appréciation, lui apparaissent non pertinents ou d'une importance mineure. La motivation doit justifier la peine prononcée, en permettant de suivre le raisonnement adopté (ATF 134 IV 17 consid. 2.1 ; cf. également ATF 141 IV 244 consid. 1.2.2). Cependant, le juge n'est pas tenu d'exprimer en chiffres ou en pourcentages l'importance qu'il accorde à chacun des éléments qu'il cite (ATF 136 IV 55 consid. 5.6). Plus la peine est élevée, plus la motivation doit être complète ; cela vaut surtout lorsque la peine, dans le cadre légal, apparaît comparativement très élevée (arrêts du Tribunal fédéral 6B_28/2016 du 10 octobre 2016 consid.</w:t>
      </w:r>
    </w:p>
    <w:p>
      <w:r>
        <w:rPr>
          <w:b/>
        </w:rPr>
        <w:t>E. 12</w:t>
      </w:r>
    </w:p>
    <w:p>
      <w:r>
        <w:t>Même si les recourants ne contestent pas le bien-fondé de l’amende, il sied de rappeler qu’ils ne se sont pas soumis aux ordres de remise en état malgré les nombreux rappels que le département. De plus, ils ont maintenu les installations litigieuses malgré le refus d’autorisation. Il apparaît dès lors que c'est de manière fautive qu’ils ont conservé les palissades en bois durant presque cinq ans (2017 à 2021) en se soustrayant ainsi à leurs obligations. Ils ne pouvaient ignorer qu’ils s’exposeraient à une nouvelle sanction s’ils ne s’exécutaient pas dans le délai imparti, comme cela leur avait du reste été indiqué dans les différentes décisions qui leur ont été notifiées.</w:t>
      </w:r>
    </w:p>
    <w:p>
      <w:r>
        <w:rPr>
          <w:b/>
        </w:rPr>
        <w:t>E. 13</w:t>
      </w:r>
    </w:p>
    <w:p>
      <w:r>
        <w:t>Au vu de ce qui précède, tant les faits constitutifs des infractions que la faute des recourants étant avérés, l'amende est justifiée dans son principe.</w:t>
      </w:r>
    </w:p>
    <w:p>
      <w:r>
        <w:rPr>
          <w:b/>
        </w:rPr>
        <w:t>E. 14</w:t>
      </w:r>
    </w:p>
    <w:p>
      <w:r>
        <w:t>Reste à déterminer si la quotité de l’amende respecte le principe de proportionnalité.</w:t>
      </w:r>
    </w:p>
    <w:p>
      <w:r>
        <w:rPr>
          <w:b/>
        </w:rPr>
        <w:t>E. 15</w:t>
      </w:r>
    </w:p>
    <w:p>
      <w:r>
        <w:t>L'amende doit respecter le principe de la proportionnalité garanti par l'art. 5 al. 2 de la Constitution fédérale de la Confédération suisse du 18 avril 1999 (Cst. - RS 101) (ATA/313/2017 du 21 mars 2017 ; ATA/871/2015 du 25 août 2015 ; ATA/824/2015 du 11 août 2015 ; ATA/886/2014 du 11 novembre 2014 ; ATA/147/2014 du 11 mars 2014 ; ATA/791/2013 du 3 décembre 2013 ;</w:t>
      </w:r>
    </w:p>
    <w:p>
      <w:r>
        <w:t>- 10/13 - A/980/2022 ATA/74/2013 du 6 février 2013), lequel commande que la mesure étatique soit nécessaire et apte à atteindre le but prévu et qu'elle soit raisonnable pour la personne concernée (ATF 140 I 257 consid. 6.3.1 ; 140 II 194 consid. 5.8.2 ; 139 I 218 consid. 4.3).</w:t>
      </w:r>
    </w:p>
    <w:p>
      <w:r>
        <w:rPr>
          <w:b/>
        </w:rPr>
        <w:t>E. 16</w:t>
      </w:r>
    </w:p>
    <w:p>
      <w:r>
        <w:t>L'amende doit ainsi faire l'objet d'une évaluation globale, dans laquelle l'autorité administrative qui sanctionne - partant le juge qui contrôle sa décision - doit prendre en compte, dans un calcul d'ensemble, la nature, la gravité et la fréquence des infractions (ATA/886/2014 du 11 novembre 2014 ; ATA/558/2013 du 27 août 2013 ; ATA/804/2012 du 27 novembre 2012 ; ATA/488/2011 du 27 juillet 2011 ; ATA/537/2009 du 27 octobre 2009), ainsi que les éléments liés à la culpabilité et les circonstances personnelles de l'auteur, dont ses capacités financières (ATA/719/2012 du 30 octobre 2012 ; Günter STRATRENWERTH, Schweizerisches Strafrecht - Allgemeiner Teil II : Strafen und Massnahmen, 2ème éd., 2006, p. 75 § 75 ; Sandro CHIMICHELLA, Die Geldstrafe in Schweizer Strafrecht, 2006, p. 39).</w:t>
      </w:r>
    </w:p>
    <w:p>
      <w:r>
        <w:rPr>
          <w:b/>
        </w:rPr>
        <w:t>E. 17</w:t>
      </w:r>
    </w:p>
    <w:p>
      <w:r>
        <w:t>Selon la jurisprudence constante, l'administration doit faire preuve de sévérité afin d'assurer le respect de la loi et jouit d'un large pouvoir d'appréciation pour infliger une amende (ATA/313/2017 du 21 mars 2017 ; ATA/124/2016 du 9 février 2016 ; ATA/824/2015 du 11 août 2015 ; ATA/569/2015 du 2 juin 2015 ; ATA/886/2014 du 11 novembre 2014). Le juge ne la censure qu'en cas d'excès (ATA/313/2017 du 21 mars 2017 ; ATA/124/2016 du 9 février 2016 ; ATA/824/2015 du 11 août 2015 ; ATA/147/2014 du 11 mars 2014).</w:t>
      </w:r>
    </w:p>
    <w:p>
      <w:r>
        <w:rPr>
          <w:b/>
        </w:rPr>
        <w:t>E. 18</w:t>
      </w:r>
    </w:p>
    <w:p>
      <w:r>
        <w:t>La jurisprudence a eu l’occasion de confirmer que dès lors qu’une première amende n’avait pas suffi à faire respecter les ordres du département, une amende ultérieure plus élevée se justifiait pleinement (ATA/879/2014 du 11 novembre 2014 consid. 7). Dans cette affaire, le recourant ne contestait pas avoir fait réaliser, depuis 2007, de nombreux et importants travaux dans son manège, ce sans se trouver au bénéfice d'une autorisation de construire. Force était de constater qu'après avoir fait l'objet de plusieurs contrôles dès 2007, après avoir été sanctionné par une première amende de CHF 10'000.- pour avoir entrepris des travaux sans autorisation, après s'être vu notifier plusieurs ordres d'arrêts de chantier et après avoir été invité à déposer formellement une requête en autorisation de construire en vue de procéder aux travaux qu'ils souhaitait réaliser, le recourant ne pouvait ignorer qu'il agissait à l'encontre des dispositions légales et réglementaires en matière de constructions. Dans la mesure où ni une première amende de CHF 10'000.-, ni la notification de deux arrêts de chantier n'avaient suffi à le dissuader de poursuivre les travaux litigieux comme il l'entendait, le département n'avait d'autre choix que de faire preuve d'une certaine sévérité à son égard et n'avait pas excédé son pouvoir d'appréciation en fixant le montant de l'amende à CHF 20'000.-.</w:t>
      </w:r>
    </w:p>
    <w:p>
      <w:r>
        <w:t>- 11/13 - A/980/2022 Par ailleurs, la chambre administrative de la Cour de Justice a également confirmé une amende de CHF 20'000.- dans le contexte d'une deuxième récidive d’un recourant (amende de CHF 2'000.- et de CHF 10'000.-) qui n'avait toujours pas respecté l'ordre de remise en état du terrain. Son comportement démontrait une certaine obstination à ne pas respecter les ordres du département depuis plus de trois ans. Une amende d'un montant plus important semblait apte à atteindre le but recherché et proportionné à la faute (ATA/13/2020 du 7 janvier 2020, consid. 9).</w:t>
      </w:r>
    </w:p>
    <w:p>
      <w:r>
        <w:rPr>
          <w:b/>
        </w:rPr>
        <w:t>E. 19</w:t>
      </w:r>
    </w:p>
    <w:p>
      <w:r>
        <w:t>En l’espèce, les recourants ne contestent pas avoir depuis 2017 contrevenu aux différents ordres de remise en état du département, soit un total de sept ordres 2017 à 2022, et ne contestent pas non plus le bien-fondé de l’amende en lien avec ces ordres. Toutefois, ils arguent que le montant de l’amende est disproportionné puisqu’ils relèvent avoir enlevé les palissades du jardin en décembre 2019 et avoir oublié de transmettre le rapport photographique au département. Force est de constater qu’entre le premier contrôle du 19 janvier 2017 et le second contrôle du 14 octobre 2021, se sont succédé six ordres de remise en état, assortis d’amendes allant d’un montant de CHF 500.- à 5'000.- (CHF 500.- le 12 avril 2019, CHF 1'000.- le 24 mai 2019, CHF 1'500.- le 5 mars 2020, CHF 2'000.- le 5 novembre 2021 et enfin CHF 5'000.- le 4 mars 2022). Ce n’est qu’après avoir reçu l’amende litigieuse de CHF 5'000.- du 4 mars 2022, que la recourante a transmis au département les photographies attestant qu’en décembre 2021 les palissades avaient été enlevées. Toutefois, même si la remise en état a effectivement eu lieu en décembre 2021, le département avait octroyé aux recourants un délai de quinze jours par décision du 5 novembre 2021 pour effectuer ladite remise en état. Les recourants n’ont ainsi en tout état pas respecté ce délai et n’ont pas non plus transmis le rapport photographique demandé dans les temps. Par conséquent, ils n’ont pas respecté l’ordre du 5 novembre 2021. Ainsi, ni une première amende de CHF 500.-, ni la notification des amendes et ordres successifs, n’ont suffi à dissuader les recourants d’enlever les palissades en bois en bordure des parcelles nos 3______ et 4______ dans les délais impartis. Par leur comportement ils ont dénoté un mépris total face aux différents ordres de remise en état et ont fait preuve d’une absence de volonté de se conformer à leurs obligations, pourtant clairement exprimées par le département. De ce fait, c’est à juste titre que ce dernier leur a infligé une amende d’un montant plus important de CHF 5'000.-, pour susciter une réaction et une mise en conformité de leur part, ce qui a finalement eu l’effet escompté. Pour le surplus, la recourante fait valoir que le montant de l’amende paraît disproportionné en sachant qu’elle travaille comme infirmière aux E______. Le recourant ne se plaint quant à lui d’aucune difficulté financière. Toutefois, il ne ressort pas du dossier, dès lors que ces derniers n’ont pas produit la moindre pièce à cet égard, qu’une telle sanction les placerait dans une situation financière</w:t>
      </w:r>
    </w:p>
    <w:p>
      <w:r>
        <w:t>- 12/13 - A/980/2022 difficile. Si tel devait être le cas, ils n’auraient certainement pas attendu six ordres de remise en état pour faire valoir cette difficulté et auraient entrepris toutes les actions nécessaires pour ne pas se voir infliger de nouvelles amendes.</w:t>
      </w:r>
    </w:p>
    <w:p>
      <w:r>
        <w:rPr>
          <w:b/>
        </w:rPr>
        <w:t>E. 20</w:t>
      </w:r>
    </w:p>
    <w:p>
      <w:r>
        <w:t>Il résulte de ce qui précède et de la jurisprudence citée, que la sanction entreprise est proportionnée.</w:t>
      </w:r>
    </w:p>
    <w:p>
      <w:r>
        <w:rPr>
          <w:b/>
        </w:rPr>
        <w:t>E. 21</w:t>
      </w:r>
    </w:p>
    <w:p>
      <w:r>
        <w:t>Mal fondé, le recours sera rejeté.</w:t>
      </w:r>
    </w:p>
    <w:p>
      <w:r>
        <w:rPr>
          <w:b/>
        </w:rPr>
        <w:t>E. 22</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700.- ; il est couvert par l’avance de frais versée à la suite du dépôt du recours. Vu l’issue du litige, aucune indemnité de procédure ne sera allouée (art. 87 al. 2 LPA).</w:t>
      </w:r>
    </w:p>
    <w:p>
      <w:r>
        <w:t>- 13/13 - A/980/2022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