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JTAPI/877/2021 vom 21. Oktober 2020</w:t>
      </w:r>
    </w:p>
    <w:p>
      <w:r>
        <w:t>GE Cour de justice, 2020-10-21, FR</w:t>
      </w:r>
    </w:p>
    <w:p>
      <w:r>
        <w:rPr>
          <w:b/>
        </w:rPr>
        <w:t xml:space="preserve">Quelle: </w:t>
      </w:r>
      <w:r>
        <w:t>https://mcp.opencaselaw.ch/entscheid/ge_gerichte_JTAPI_877_2021</w:t>
      </w:r>
    </w:p>
    <w:p>
      <w:r>
        <w:t>FR: GE_GERICHTE JTAPI/877/2021 du 21 octobre 2020</w:t>
      </w:r>
    </w:p>
    <w:p>
      <w:r>
        <w:t>IT: GE_GERICHTE JTAPI/877/2021 del 21 ottobre 2020</w:t>
      </w:r>
    </w:p>
    <w:p>
      <w:pPr>
        <w:pStyle w:val="Heading2"/>
      </w:pPr>
      <w:r>
        <w:t>Erwägungen</w:t>
      </w:r>
    </w:p>
    <w:p>
      <w:r>
        <w:rPr>
          <w:b/>
        </w:rPr>
        <w:t>E. 1</w:t>
      </w:r>
    </w:p>
    <w:p>
      <w:r>
        <w:t>Le tribunal connaît des recours dirigés, comme en l'espèce, contre les décisions prises par les communes en application de la loi sur la gestion des déchets du 20 mai 1999 (LGD - L 1 20) (art. 115 al. 2 et 116 al. 1 de la loi sur l'organisation judiciaire du 26 septembre 2010 - LOJ - E 2 05 ; art. 50 LGD cum art. 143 de la loi sur les constructions et les installations diverses du 14 avril 1988 - LCI - L 5 05).</w:t>
      </w:r>
    </w:p>
    <w:p>
      <w:r>
        <w:rPr>
          <w:b/>
        </w:rPr>
        <w:t>E. 2</w:t>
      </w:r>
    </w:p>
    <w:p>
      <w:r>
        <w:t>Interjeté en temps utile et dans les formes prescrites devant la juridiction compétente, le recours est recevable (art. 57, 60 et 62 à 65 de la loi sur la procédure administrative du 12 septembre 1985 -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- 4/9 - A/3717/2020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loi fédérale sur la protection de l'environnement du</w:t>
      </w:r>
    </w:p>
    <w:p>
      <w:r>
        <w:rPr>
          <w:b/>
        </w:rPr>
        <w:t>E. 7</w:t>
      </w:r>
    </w:p>
    <w:p>
      <w:r>
        <w:t>Selon l'art. 17 RGD, les communes peuvent édicter des règlements communaux sur le bon fonctionnement de leurs infrastructures de collecte et sur leur gestion des déchets ménagers (al. 1), ces règlements pouvant prévoir les sanctions et les mesures prévues dans la loi (al. 2).</w:t>
      </w:r>
    </w:p>
    <w:p>
      <w:r>
        <w:rPr>
          <w:b/>
        </w:rPr>
        <w:t>E. 8</w:t>
      </w:r>
    </w:p>
    <w:p>
      <w:r>
        <w:t>Le règlement de la Ville de Genève sur la gestion des déchets du 18 décembre 2019 (LC 21 911), entré en vigueur le 1er janvier 2020 (ci-après : règlement LC 21 911), fixe les modalités de la collecte, du transport et de l’élimination des déchets urbains sur son territoire (art. 1 al. 1). Il s'applique à tous les détenteurs de déchets urbains du territoire de la commune (art. 1 al. 2), soit les déchets produits par les ménages, ainsi que ceux qui proviennent d’entreprises comptant moins de 250 postes à plein temps et dont la composition est comparable à celle des déchets ménagers en termes de matières contenues et de proportions (art. 6 al. 1).</w:t>
      </w:r>
    </w:p>
    <w:p>
      <w:r>
        <w:t>- 5/9 - A/3717/2020 À teneur de son art. 19 al. 1, le service en charge de la collecte des déchets assure régulièrement la collecte en porte-à-porte, notamment des ordures ménagères et assimilées. Les jours et heures des collectes, ainsi que les directives de la Ville de Genève sont communiquées dans une publication tous-ménages distribuée annuellement ; cette dernière est également disponible auprès du service en charge de la collecte des déchets et sur le site internet de la Ville (19 al. 2). Il est interdit d’éliminer ou de déposer des déchets sur le territoire de la commune hors des emplacements et des installations aménagés à cet effet et en dehors des horaires définis par le service en charge de la collecte des déchets (art. 30 al. 1).</w:t>
      </w:r>
    </w:p>
    <w:p>
      <w:r>
        <w:rPr>
          <w:b/>
        </w:rPr>
        <w:t>E. 9</w:t>
      </w:r>
    </w:p>
    <w:p>
      <w:r>
        <w:t>En l’espèce, il n'est pas contesté qu’un sac poubelle contenant des déchets émanant de la boutique de la recourante a été déposé sur la voie publique en dehors et plusieurs jours avant le jour de collecte (soit le samedi 12 septembre 2020, selon les propres déclarations de son associée gérante), puisque celui-ci était effectivement, pour la rive gauche, à teneur du document « Infos déchets 2021 » publié par la Ville de Genève, prévu le mardi suivant. De même, la recourante a reconnu « sans contestation », dans son recours, que l’erreur était sienne. Dans ces circonstances, c'est à juste titre que l'autorité intimée a considéré qu'elle avait contrevenu, en particulier, aux art. 10 LGD, 5 al. 1 RGD et 30 du règlement LC 21 911. On peine en revanche à voir une infraction supplémentaire dans le comportement reproché à la recourante, eu égard au fait que les déchets incriminés étaient compilés dans un sac de 35 litres, dès lors que, selon l'art. 22 al. 1 du règlement LC 21 911 (« Conditionnement des déchets »), les ordures ménagères doivent être conditionnées par les usagers dans des sacs de norme OKS résistants, étanches et fermés, d’un volume « maximum » de 110 litres.</w:t>
      </w:r>
    </w:p>
    <w:p>
      <w:r>
        <w:rPr>
          <w:b/>
        </w:rPr>
        <w:t>E. 10</w:t>
      </w:r>
    </w:p>
    <w:p>
      <w:r>
        <w:t>Selon les art. 43 al. 1 LGD et 31 du règlement LC 21 911, est passible d’une amende administrative de CHF 200.- à CHF 400'000.- tout contrevenant : - à la LGD ; - aux règlements et arrêtés édictés en vertu de la LGD ; - aux ordres donnés par l’autorité compétente dans la limite de la LGD et des règlements et arrêtés édictés en vertu de celle-ci. Les amendes peuvent être infligées tant à des personnes morales qu'à des personnes physiques (art. 43 al. 2 LGD). Il est tenu compte, dans la fixation de l'amende, du degré de gravité de l'infraction et/ou des antécédents du contrevenant (art. 31 al. 2 du règlement LC 21 911). Les amendes sont infligées par le service compétent de la Ville de Genève, sans préjudice de plus fortes peines en cas de crimes, délits ou contraventions prévus</w:t>
      </w:r>
    </w:p>
    <w:p>
      <w:r>
        <w:t>- 6/9 - A/3717/2020 par la LPE et de tous dommages-intérêts éventuels (art. 31 al. 3 du règlement LC 21 911 ; cf. aussi art. 44 al. 2 LGD).</w:t>
      </w:r>
    </w:p>
    <w:p>
      <w:r>
        <w:rPr>
          <w:b/>
        </w:rPr>
        <w:t>E. 11</w:t>
      </w:r>
    </w:p>
    <w:p>
      <w:r>
        <w:t>Les contraventions sont constatées par les agents de la force publique et tous autres agents ayant mandat de veiller à l’observation de la loi (art. 44 al. 1 LGD).</w:t>
      </w:r>
    </w:p>
    <w:p>
      <w:r>
        <w:rPr>
          <w:b/>
        </w:rPr>
        <w:t>E. 12</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ATA/1277/2018 du 27 novembre 2018 consid. 6b ; ATA/1030/2018 du 2 octobre 2018 consid. 9b ; ATA/319/2017 du 21 mars 2017 consid. 3c et les références citées).</w:t>
      </w:r>
    </w:p>
    <w:p>
      <w:r>
        <w:rPr>
          <w:b/>
        </w:rPr>
        <w:t>E. 13</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ATA/403/2019 du 9 avril 2019 consid. 7b ; ATA/1277/2018 du 27 novembre 2018 consid. 6c ; ATA/1472/2017 du 14 novembre 2017). Il est ainsi en particulier nécessaire que le contrevenant ait commis une faute, fût- ce sous la forme d'une simple négligence (cf. not. ATA/13/2020 du 7 janvier 2020 consid. 7c ; ATA/1828/2019 du 17 décembre 2019 consid. 13c ; ATA/1277/2018 du 27 novembre 2018 consid. 6c).</w:t>
      </w:r>
    </w:p>
    <w:p>
      <w:r>
        <w:rPr>
          <w:b/>
        </w:rPr>
        <w:t>E. 14</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et ses capacités financières (cf. ATA/719/2012 du 30 octobre 2012 consid. 20 et les références citées).</w:t>
      </w:r>
    </w:p>
    <w:p>
      <w:r>
        <w:t>- 7/9 - A/3717/2020 Néanmoins, toujours selon la jurisprudence constante, l'administration doit faire preuve de sévérité afin d'assurer le respect de la loi et jouit d'un large pouvoir d'appréciation pour infliger une amende (ATA/403/2019 du 9 avril 2019 consid. 7c ; ATA/1277/2018 du 27 novembre 2018 consid. 6d ; ATA/313/2017 du 21 mars 2017 ; ATA/124/2016 du 9 février 2016 ; ATA/824/2015 du 11 août 2015), le juge ne la censurant qu'en cas d'excès (ATA/403/2019 du 9 avril 2019 consid. 7c ; ATA/1277/2018 du 27 novembre 2018 consid. 6d ; ATA/313/2017 du 21 mars 2017 ; ATA/124/2016 du 9 février 2016 ; ATA/824/2015 du 11 août 2015).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15</w:t>
      </w:r>
    </w:p>
    <w:p>
      <w:r>
        <w:t>En l'espèce, il ressort des propres déclarations de l'associée gérante de la recourante, qui avait délégué la gestion du commerce à sa fille, qu'elle n'ignorait pas le contenu de ses obligations et le caractère répréhensible du comportement lui étant reproché. L'infraction n'a ainsi pu être commise qu'avec conscience et volonté. L’allégation de la recourante selon laquelle le sac de déchets litigieux contenait des lingettes utilisées pour désinfecter les surfaces en raison de la crise sanitaire, de sorte qu’il avait été sorti des locaux pour des raisons « hygiéniques », n'est pas pertinent, ne saurait justifier les faits en cause ou amenuiser sa faute. Le prononcé de l'avertissement que requiert la recourante en lieu et place de l’amende litigieuse n'est pas prévu par la LGD. En outre, il ressort de la systématique du règlement LC 21 911 que l’avertissement envisagé par son art. 28 al. 4 (« Subséquemment à ces contrôles, il est cas échéant, établi un procès-verbal, un avertissement, une dénonciation ou une amende à l’encontre du contrevenant ») concerne seulement le contrôle du tri sélectif des déchets (cf. art. 28 al. 1 : « Afin d’assurer le respect du présent règlement et ainsi favoriser le tri sélectif des déchets, la Ville de Genève contrôle périodiquement l’origine, le volume, le poids et les caractéristiques des déchets »), mais non le dépôt illicite de</w:t>
      </w:r>
    </w:p>
    <w:p>
      <w:r>
        <w:t>- 8/9 - A/3717/2020 ceux-ci. Cette infraction est en effet réprimée par l’art. 30 du règlement LC 21 911 et sanctionnée par une amende (art. 31 du règlement LC 21 911). Le montant de l'amende querellée reste mesuré et, compte tenu du pouvoir d'appréciation conféré à l'autorité en la matière, ne prête pas le flanc à la critique, sans qu'il soit nécessaire d'examiner le bien-fondé de la pratique de la Ville de Genève consistant à appliquer un montant d'amende différencié selon que l'infraction est le fait d'une personne morale ou d'un particulier. Pour le surplus, la recourante ne fait pas état de difficultés pécuniaires particulières l'empêchant de s'acquitter d'un tel montant. Partant, l'autorité intimée n'a ni violé la loi, ni abusé de son pouvoir d'appréciation en infligeant une amende à CHF 400.- à la recourante.</w:t>
      </w:r>
    </w:p>
    <w:p>
      <w:r>
        <w:rPr>
          <w:b/>
        </w:rPr>
        <w:t>E. 16</w:t>
      </w:r>
    </w:p>
    <w:p>
      <w:r>
        <w:t>Le recours, mal fondé, sera dès lors rejeté.</w:t>
      </w:r>
    </w:p>
    <w:p>
      <w:r>
        <w:rPr>
          <w:b/>
        </w:rPr>
        <w:t>E. 17</w:t>
      </w:r>
    </w:p>
    <w:p>
      <w:r>
        <w:t>Vu cette issue du litige, un émolument de CHF 200.- sera mis à la charge de la recourante, qui succombe, en application des art. 87 al. 1 LPA et 1 et 2 du règlement genevois sur les frais, émoluments et indemnités en procédure administrative du 30 juillet 1986 (RFPA - E 5 10.03).</w:t>
      </w:r>
    </w:p>
    <w:p>
      <w:r>
        <w:t>- 9/9 - A/3717/2020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