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JTAPI/86/2025 vom 25. Juni 2024</w:t>
      </w:r>
    </w:p>
    <w:p>
      <w:r>
        <w:t>GE Cour de justice, 2024-06-25, FR</w:t>
      </w:r>
    </w:p>
    <w:p>
      <w:r>
        <w:rPr>
          <w:b/>
        </w:rPr>
        <w:t xml:space="preserve">Quelle: </w:t>
      </w:r>
      <w:r>
        <w:t>https://mcp.opencaselaw.ch/entscheid/ge_gerichte_JTAPI_86_2025</w:t>
      </w:r>
    </w:p>
    <w:p>
      <w:r>
        <w:t>FR: GE_GERICHTE JTAPI/86/2025 du 25 juin 2024</w:t>
      </w:r>
    </w:p>
    <w:p>
      <w:r>
        <w:t>IT: GE_GERICHTE JTAPI/86/2025 del 25 giugno 2024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La recourante a également invoqué le droit au respect de sa vie familiale pour demeurer en Suisse.</w:t>
      </w:r>
    </w:p>
    <w:p>
      <w:r>
        <w:rPr>
          <w:b/>
        </w:rPr>
        <w:t>E. 30</w:t>
      </w:r>
    </w:p>
    <w:p>
      <w:r>
        <w:t>Selon la jurisprudence, un étranger peut, en fonction des circonstances, se prévaloir de ce droit garanti par l'art. 8 par. 1 CEDH pour s'opposer à une éventuelle séparation de sa famille, à condition qu'il entretienne une relation étroite et effective avec un membre de celle-ci ayant le droit de résider durablement en Suisse (ATF 137 I 284 consid. 1.3 ; 136 II 177 consid. 1.2 ; arrêts du Tribunal fédéral 2C_1083/2016 du 24 avril 2017 consid. 1.1 ; 2C_786/2016 du 5 avril 2017 consid. 3.1 et les références citées). Les relations ici visées concernent en premier lieu la famille dite nucléaire, c'est-à-dire la communauté formée par les parents et leurs enfants mineurs (ATF 140 I 77 consid. 5.2 ; 137 I 113 consid. 6.1 ; 135 I 143 consid. 1.3.2 ; arrêts du Tribunal fédéral 2C_584/2017 du 29 juin 2017 consid. 3 ; 2C_1083/2016 du 24 avril 2017 consid. 1.1 ; 2C_1023/2016 du 11 avril 2017 consid. 5.1).</w:t>
      </w:r>
    </w:p>
    <w:p>
      <w:r>
        <w:rPr>
          <w:b/>
        </w:rPr>
        <w:t>E. 31</w:t>
      </w:r>
    </w:p>
    <w:p>
      <w:r>
        <w:t>En l'espèce, dans la mesure où l'époux de la recourante n'est pas au bénéfice d'une autorisation de séjour en Suisse, elle ne peut invoquer cette disposition pour prétendre en obtenir une.</w:t>
      </w:r>
    </w:p>
    <w:p>
      <w:r>
        <w:rPr>
          <w:b/>
        </w:rPr>
        <w:t>E. 32</w:t>
      </w:r>
    </w:p>
    <w:p>
      <w:r>
        <w:t>Selon l'art. 64 al. 1 let. c LEI, les autorités compétentes rendent une décision de renvoi ordinaire à l'encontre d'un étranger auquel une autorisation est refusée ou dont l'autorisation, bien que requise, est révoquée ou n'est pas prolongée après un séjour autorisé.</w:t>
      </w:r>
    </w:p>
    <w:p>
      <w:r>
        <w:t>Le renvoi constitue la conséquence logique et inéluctable du rejet d'une demande tendant à la délivrance ou la prolongation d'une autorisation de séjour, l'autorité ne disposant à ce titre d'aucun pouvoir d'appréciation (ATA/1118/2020 du 10 novembre 2020 consid. 11a).</w:t>
      </w:r>
    </w:p>
    <w:p>
      <w:r>
        <w:rPr>
          <w:b/>
        </w:rPr>
        <w:t>E. 33</w:t>
      </w:r>
    </w:p>
    <w:p>
      <w:r>
        <w:t>En l’occurrence, au vu de l’absence de délivrance de titre de séjour, c’est à juste titre que l’autorité intimée, qui ne dispose d’aucune latitude de jugement à cet égard, a ordonné le renvoi de Suisse de la recourante et de ses enfants.</w:t>
      </w:r>
    </w:p>
    <w:p>
      <w:r>
        <w:t>Quant à l’exécution de ce renvoi, aucun élément au dossier ne laisse supposer que celle-ci ne serait pas possible, pas licite ou qu'elle ne pourrait être raisonnablement exigée (art. 83 LEI).</w:t>
      </w:r>
    </w:p>
    <w:p>
      <w:r>
        <w:t>- 15/16 - A/2769/2024</w:t>
      </w:r>
    </w:p>
    <w:p>
      <w:r>
        <w:rPr>
          <w:b/>
        </w:rPr>
        <w:t>E. 34</w:t>
      </w:r>
    </w:p>
    <w:p>
      <w:r>
        <w:t>Mal fondé, le recours sera rejeté et la décision contestée confirmée.</w:t>
      </w:r>
    </w:p>
    <w:p>
      <w:r>
        <w:rPr>
          <w:b/>
        </w:rPr>
        <w:t>E. 35</w:t>
      </w:r>
    </w:p>
    <w:p>
      <w:r>
        <w:t>En application des art. 87 al. 1 LPA et 1 et 2 du règlement sur les frais, émoluments et indemnités en procédure administrative du 30 juillet 1986 (RFPA - E 5 10.03), la recourante, qui succombe, est condamnée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36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- 16/16 - A/2769/2024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