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JTAPI/86/2024 vom 12. Februar 1988</w:t>
      </w:r>
    </w:p>
    <w:p>
      <w:r>
        <w:t>GE Cour de justice, 1988-02-12, FR</w:t>
      </w:r>
    </w:p>
    <w:p>
      <w:r>
        <w:rPr>
          <w:b/>
        </w:rPr>
        <w:t xml:space="preserve">Quelle: </w:t>
      </w:r>
      <w:r>
        <w:t>https://mcp.opencaselaw.ch/entscheid/ge_gerichte_JTAPI_86_2024</w:t>
      </w:r>
    </w:p>
    <w:p>
      <w:r>
        <w:t>FR: GE_GERICHTE JTAPI/86/2024 du 12 février 1988</w:t>
      </w:r>
    </w:p>
    <w:p>
      <w:r>
        <w:t>IT: GE_GERICHTE JTAPI/86/2024 del 12 febbraio 1988</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recourant conteste l'interdiction de conduire prononcée par l'OCV. Il estime qu'au vu du contenu du jugement de la CPAR du 18 avril 2023, retenant une faute moyenne de sa part et une bonne prise de conscience, l'interdiction de conduire devait être annulée, subsidiairement, réduite au minimum. 4. Lorsque la qualification juridique d'un acte ou la culpabilité est douteuse, il convient de statuer sur le retrait du permis de conduire après seulement que la procédure pénale soit achevée par un jugement entré en force ; fondamentalement, en effet, c'est au juge pénal qu'il appartient de se prononcer sur la réalisation d'une infraction (ATF 129 II 312 consid. 2. 4 ; arrêt du Tribunal fédéral 1C_87/2009 du 11 août 2009 consid. 2.1). 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arrêts du Tribunal fédéral 1C_636/2013 du 7 août 2013 consid. 2.1 ; 1C_567/2011 du 12 mars 2012 consid. 3.1 ; 1C_245/2010 du 13 juillet 2010 consid. 2.1 ; cf. aussi ATA/172/2012 du 27 mars 2012 ; ATA/363/2011 du 7 juin 2011).</w:t>
      </w:r>
    </w:p>
    <w:p>
      <w:r>
        <w:rPr>
          <w:b/>
        </w:rPr>
        <w:t>E. 5</w:t>
      </w:r>
    </w:p>
    <w:p>
      <w:r>
        <w:t>L’autorité administrative ne peut dès lors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w:t>
      </w:r>
    </w:p>
    <w:p>
      <w:r>
        <w:t>- 7/11 - A/275/2022 touchent à la violation des règles de la circulation (ATF 136 II 447 consid. 3.1 ; 129 II 312 consid. 2.4 ; 123 II 97 consid. 3c/aa ; 119 Ib 158 consid. 3c/aa ; 105 Ib 18 consid. 1a ; 101 Ib 270 consid. 1b ; 96 I 766 consid. 5 ; arrêts du Tribunal fédéral 1C_567/2011 du 12 mars 2012 consid. 3.1 ; 1C_245/2010 du 13 juillet 2010 consid. 2.1 ; cf. aussi ATA/23/2015 du 6 janvier 2015 ; ATA/172/2012 du 27 mars 2012 ; ATA/363/2011 du 7 juin 2011). Tout en rappelant que l’autorité administrative n’est pas liée par le jugement pénal pour les questions de droit, en particulier pour l’appréciation de la faute, le Tribunal fédéral a précisé que malgré son indépendance, l’autorité administrative se doit d’éviter le plus possible des décisions contradictoires, ce qui requiert qu’elle se rattache à l’appréciation du juge pénal si celle-ci est soutenable, même si elle-même aurait apprécié la faute différemment (arrêt du Tribunal fédéral 1C_424/2012 du 15 janvier 2015).</w:t>
      </w:r>
    </w:p>
    <w:p>
      <w:r>
        <w:rPr>
          <w:b/>
        </w:rPr>
        <w:t>E. 6</w:t>
      </w:r>
    </w:p>
    <w:p>
      <w:r>
        <w:t>Aux termes de l'art. 26 al. 1 LCR, chacun doit se comporter dans la circulation de manière à ne pas gêner ni mettre en danger ceux qui utilisent la route conformément aux règles établies.</w:t>
      </w:r>
    </w:p>
    <w:p>
      <w:r>
        <w:rPr>
          <w:b/>
        </w:rPr>
        <w:t>E. 7</w:t>
      </w:r>
    </w:p>
    <w:p>
      <w:r>
        <w:t>Selon l'art. 30 al. 2 phr. 1 LCR, les véhicules ne doivent pas être surchargés.</w:t>
      </w:r>
    </w:p>
    <w:p>
      <w:r>
        <w:rPr>
          <w:b/>
        </w:rPr>
        <w:t>E. 8</w:t>
      </w:r>
    </w:p>
    <w:p>
      <w:r>
        <w:t>Selon la jurisprudence, pour déterminer le poids maximal autorisé d'un véhicule, il faut se référer à celui indiqué sur le permis de circulation et non pas aux garanties du fabricant qui n'ont pas été validées par les autorités (1C_273/2016 du 5 décembre 2016 consid. 5.4 et les références citées).</w:t>
      </w:r>
    </w:p>
    <w:p>
      <w:r>
        <w:rPr>
          <w:b/>
        </w:rPr>
        <w:t>E. 9</w:t>
      </w:r>
    </w:p>
    <w:p>
      <w:r>
        <w:t>En l'espèce, par ordonnance pénale du 26 octobre 2021, le service des contraventions a condamné le recourant à une amende de CHF 4'920.-. Suite à l'opposition du recourant à cette ordonnance, le Tribunal de police, par jugement du 22 septembre 2022, l'a acquitté de violation des règles de la circulation routière au sens des art. 90 al. 1 et 30 al. 2 LCR et l'a condamné à une amende de CHF 100.- pour infraction à l'art. 96 al. 1 let. c LCR. La CPAR, admettant partiellement l'appel du Ministère public contre ce jugement, a annulé celui-ci par jugement du 18 avril 2023 et a condamné le recourant à une amende de CHF 800.- pour violation des règles de la circulation routière (art. 30 al. 2 et 90 al. 1 LCR) et infraction à l'art. 96 al. 1 let. c LCR. Elle a retenu que le recourant avait surchargé son véhicule en dépassant de plus de 40 % le poids total maximal autorisé par le permis d'immatriculation en transportant un véhicule imposant qui plus est mal arrimé. Ce jugement n'a pas été contesté, de sorte qu'il est entré en force.</w:t>
      </w:r>
    </w:p>
    <w:p>
      <w:r>
        <w:t>- 8/11 - A/275/2022 Aucun élément ne permet au tribunal de céans de s'écarter de l'appréciation de la CPAR, laquelle est au demeurant conforme à la jurisprudence précitée. Reste toutefois à examiner la gravité de l'infraction.</w:t>
      </w:r>
    </w:p>
    <w:p>
      <w:r>
        <w:rPr>
          <w:b/>
        </w:rPr>
        <w:t>E. 10</w:t>
      </w:r>
    </w:p>
    <w:p>
      <w:r>
        <w:t>Lorsque la procédure prévue par la loi sur les amendes d’ordre du 24 juin 1970 (LAO - RS 741.03) n’est pas applicable, une infraction aux prescriptions sur la circulation routière entraîne le retrait du permis d’élève-conducteur ou du permis de conduire ou un avertissement (art. 16 al. 2 LCR).</w:t>
      </w:r>
    </w:p>
    <w:p>
      <w:r>
        <w:rPr>
          <w:b/>
        </w:rPr>
        <w:t>E. 11</w:t>
      </w:r>
    </w:p>
    <w:p>
      <w:r>
        <w:t>Pour déterminer la durée et s'il y a lieu de prononcer un retrait d’admonestation, la LCR distingue les infractions légères, moyennement graves et graves (art. 16a à 16c LCR).</w:t>
      </w:r>
    </w:p>
    <w:p>
      <w:r>
        <w:rPr>
          <w:b/>
        </w:rPr>
        <w:t>E. 12</w:t>
      </w:r>
    </w:p>
    <w:p>
      <w:r>
        <w:t>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w:t>
      </w:r>
    </w:p>
    <w:p>
      <w:r>
        <w:rPr>
          <w:b/>
        </w:rPr>
        <w:t>E. 13</w:t>
      </w:r>
    </w:p>
    <w:p>
      <w:r>
        <w:t>La définition d'une infraction moyennement grave découle du fait qu'elle ne peut être considérée ni comme légère au sens de l'art. 16a al. 1 let. a LCR, ni comme grave au sens de l'art. 16c al. 1 let. a LCR. Dès lors, l'infraction est considérée comme moyennement grave lorsque les éléments constitutifs qui permettent de la qualifier de légère ou au contraire de la qualifier de grave ne sont pas tous réunis. Tel est par exemple le cas lorsque la faute est grave et la mise en danger bénigne ou, inversement, si la faute est légère et la mise en danger grave (ATF 136 II 447 consid. 3.2 ; 135 II 138 consid. 2.2.2 ; arrêts du Tribunal fédéral 1C_436/2019 du 30 septembre 2019 consid. 2.1 ; 1C_144/2018 du 10 décembre 2018 consid. 2.1 ; 1C_54/2018 du 3 octobre 2018 consid. 2.1). Ainsi, par rapport à une infraction légère, où tant la mise en danger que la faute doivent être légères, on parle d'infraction moyennement grave dès que la mise en danger ou la faute n'est pas légère (arrêts du Tribunal fédéral 1C_436/2019 du 30 septembre 2019 consid. 2.1 ; 1C_144/2018 du 10 décembre 2018 consid. 2.1 ; 1C_202/2018 du 18 septembre 2018 consid. 3.1 ; 1C_184/2018 du 26 juillet 2018 consid. 2.2) Il y a création d'un danger sérieux pour la sécurité d'autrui non seulement en cas de mise en danger concrète, mais déjà en cas de mise en danger abstraite accrue ; la réalisation d'un tel danger s'examine en fonction des circonstances spécifiques du cas d'espèce (cf. ATF 142 IV 93 consid. 3.1 ; 131 IV 133 consid. 3.2 ; arrêts du Tribunal fédéral 1C_436/2019 du 30 septembre 2019 consid. 2.1 ; 6B_23/2016 du 9 décembre 2016 consid. 3.2 ; 6B_665/2015 du 15 septembre 2016 consid. 2.1.1 ; 1C_478/2014 du 14 juillet 2015 consid. 2.2 ; 1C_20/2013 du 28 mai 2013 consid.</w:t>
      </w:r>
    </w:p>
    <w:p>
      <w:r>
        <w:t>- 9/11 - A/275/2022 4.4 et les arrêts cités).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du Tribunal fédéral 6B_23/2016 du 9 décembre 2016 consid. 3.2 ; 6B_117/2015 du 11 février 2016 consid. 13.2). Comme l'a relevé la jurisprudence, il n'y a pas de parallélisme total entre cette triple distinction faite par l'art. 16 LCR et la double distinction de l'art. 90 LCR (ATF 102 Ib 196 consid. 3b). Il n'empêche que l'on ne saurait, sans motif important, donner une interprétation différente à des notions très voisines contenues dans la même loi. Pour apprécier si, de manière abstraite, il a été créé un danger sérieux pour la sécurité d'autrui, la jurisprudence a déjà estimé qu'il fallait se référer aux principes dégagés en cette matière dans le domaine du retrait du permis de conduire (arrêt non publié du 15 février 1988 dans la cause M. c. MP Vaud, consid. 2).</w:t>
      </w:r>
    </w:p>
    <w:p>
      <w:r>
        <w:rPr>
          <w:b/>
        </w:rPr>
        <w:t>E. 14</w:t>
      </w:r>
    </w:p>
    <w:p>
      <w:r>
        <w:t>Selon le Tribunal fédéral, la gravité de l'infraction pour conduite d'un véhicule surchargé varie selon les circonstances du cas d'espèce. Il a ainsi été jugé que la conduite d'un semi-remorque dont le poids garanti était excédé de 46,54 % constituait une infraction moyennement grave (1C_456/2011 du 28 février 2012). En revanche, une surcharge de 1'896 kg, correspondant à un excès de poids de 54,09 %, a été qualifiée d'infraction grave compte tenu du fait que le conducteur, en plus de la surcharge, ne disposait pas du permis adéquat et qu'il n'avait pas respecté la distance de sécurité avec un camion qui le précédait (1C_690/2013 consid. 4.2 du 4 février 2014).</w:t>
      </w:r>
    </w:p>
    <w:p>
      <w:r>
        <w:rPr>
          <w:b/>
        </w:rPr>
        <w:t>E. 15</w:t>
      </w:r>
    </w:p>
    <w:p>
      <w:r>
        <w:t>En l'espèce, le véhicule du recourant présentait une surcharge de 1'525 kg, soit un excès de 43,6 %. Conformément à la jurisprudence précitée, cette surcharge ne saurait être qualifiée d'infraction légère au vu des conséquences graves qu'elle aurait pu engendrer pour les autres usagers de la route. En effet, un tel dépassement du poids maximum entraîne nécessairement des pressions accrues sur les différentes composantes du véhicule, notamment les pneumatiques et les essieux, augmentant ainsi le risque d'une défaillance technique. Une surcharge de poids modifie également considérablement les réactions du véhicule, notamment la distance de freinage. Dès lors, c'est à bon droit que l'OCV a retenu que le recourant avait commis une infraction moyennement grave au sens de l'art. 16b al. 1 let. a LCR.</w:t>
      </w:r>
    </w:p>
    <w:p>
      <w:r>
        <w:rPr>
          <w:b/>
        </w:rPr>
        <w:t>E. 16</w:t>
      </w:r>
    </w:p>
    <w:p>
      <w:r>
        <w:t>Selon l'art. 16b al. 2 let. a LCR, le permis de conduire est retiré pour un mois au minimum après une infraction moyennement grave.</w:t>
      </w:r>
    </w:p>
    <w:p>
      <w:r>
        <w:t>- 10/11 - A/275/2022</w:t>
      </w:r>
    </w:p>
    <w:p>
      <w:r>
        <w:rPr>
          <w:b/>
        </w:rPr>
        <w:t>E. 17</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w:t>
      </w:r>
    </w:p>
    <w:p>
      <w:r>
        <w:rPr>
          <w:b/>
        </w:rPr>
        <w:t>E. 18</w:t>
      </w:r>
    </w:p>
    <w:p>
      <w:r>
        <w:t>En l'occurrence, l'OCV ne s'est pas écarté du minimum légal prévu par l'art. 16b al. 2 let. a LCR en fixant à un mois la durée d'interdiction de faire usage du permis étranger du recourant en Suisse. Étant lié par cette durée, qui constitue le minimum légal incompressible devant sanctionner l'infraction en cause, il ne pouvait aucunement tenir compte de la prise de conscience évoquée par le recourant et a donc parfaitement appliqué les règles en vigueur.</w:t>
      </w:r>
    </w:p>
    <w:p>
      <w:r>
        <w:rPr>
          <w:b/>
        </w:rPr>
        <w:t>E. 19</w:t>
      </w:r>
    </w:p>
    <w:p>
      <w:r>
        <w:t>Entièrement mal fondé, le recours sera rejeté et la décision confirmée.</w:t>
      </w:r>
    </w:p>
    <w:p>
      <w:r>
        <w:rPr>
          <w:b/>
        </w:rPr>
        <w:t>E. 20</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versée à la suite du dépôt du recours. Vu l’issue du litige, aucune indemnité de procédure ne sera allouée (art. 87 al. 2 LPA).</w:t>
      </w:r>
    </w:p>
    <w:p>
      <w:r>
        <w:t>- 11/11 - A/275/2022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