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JTAPI/867/2021 vom 17. März 2021</w:t>
      </w:r>
    </w:p>
    <w:p>
      <w:r>
        <w:t>GE Cour de justice, 2021-03-17, FR</w:t>
      </w:r>
    </w:p>
    <w:p>
      <w:r>
        <w:rPr>
          <w:b/>
        </w:rPr>
        <w:t xml:space="preserve">Quelle: </w:t>
      </w:r>
      <w:r>
        <w:t>https://mcp.opencaselaw.ch/entscheid/ge_gerichte_JTAPI_867_2021</w:t>
      </w:r>
    </w:p>
    <w:p>
      <w:r>
        <w:t>FR: GE_GERICHTE JTAPI/867/2021 du 17 mars 2021</w:t>
      </w:r>
    </w:p>
    <w:p>
      <w:r>
        <w:t>IT: GE_GERICHTE JTAPI/867/2021 del 17 marzo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forêts du 20 mai 1999 (LForêts - M 5 10) (art. 63 LForêts) (art. 62 al. 1 let. a, 64 al. 1 et 65 al. 1 et al. 2 de la loi sur la procédure administrative du 12 septembre 1985 (LPA-GE - E 5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Selon l'art. 1 al. 1 de la loi sur les forêts du 20 mai 1999 (LForêts - M 5 10), la présente loi a pour but d'assurer la protection du milieu forestier, notamment en tant que milieu naturel, de conserver leur étendue et de garantir leurs fonctions</w:t>
      </w:r>
    </w:p>
    <w:p>
      <w:r>
        <w:t>- 4/9 - A/1060/2021 protectrice, sociale et économique, ainsi que de promouvoir l'économie forestière et du bois.</w:t>
      </w:r>
    </w:p>
    <w:p>
      <w:r>
        <w:rPr>
          <w:b/>
        </w:rPr>
        <w:t>E. 5</w:t>
      </w:r>
    </w:p>
    <w:p>
      <w:r>
        <w:t>Selon l'art. 16 al. 1 LForêts, le stationnement de véhicules est proscrit à l'intérieur des forêts, sauf aux emplacements prévus à cet effet. Sur ces emplacements, de telles installations ont un caractère provisoire (art. 16 al. 2 LForêts).</w:t>
      </w:r>
    </w:p>
    <w:p>
      <w:r>
        <w:rPr>
          <w:b/>
        </w:rPr>
        <w:t>E. 6</w:t>
      </w:r>
    </w:p>
    <w:p>
      <w:r>
        <w:t>Le libre accès n'est garanti en forêts qu'aux piétons (art. 17 al. 1 LForêts).</w:t>
      </w:r>
    </w:p>
    <w:p>
      <w:r>
        <w:rPr>
          <w:b/>
        </w:rPr>
        <w:t>E. 7</w:t>
      </w:r>
    </w:p>
    <w:p>
      <w:r>
        <w:t>Les seuls véhicules à moteurs qui sont en mesure de circuler dans la forêt et les chemins forestiers, sont les véhicules qui remplissent une activité de gestion ou de surveillance forestière, et ceux nécessaire à l'exploitation agricole (art. 21 al. 1 LForêts).</w:t>
      </w:r>
    </w:p>
    <w:p>
      <w:r>
        <w:rPr>
          <w:b/>
        </w:rPr>
        <w:t>E. 8</w:t>
      </w:r>
    </w:p>
    <w:p>
      <w:r>
        <w:t>L'art. 61 LForêts prévoit que les gardes assermentés de chaque secteur forestier, les agents de la force publique et tous autres agents ayant mandat de veiller à l'observation de la loi et de son règlement, sont compétents pour prendre toutes dispositions nécessaires afin de prévenir ou faire cesser un acte illicite et pour dresser des procès-verbaux de contravention.</w:t>
      </w:r>
    </w:p>
    <w:p>
      <w:r>
        <w:rPr>
          <w:b/>
        </w:rPr>
        <w:t>E. 9</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 ATA/86/2021 du 26 janvier 2021).</w:t>
      </w:r>
    </w:p>
    <w:p>
      <w:r>
        <w:rPr>
          <w:b/>
        </w:rPr>
        <w:t>E. 10</w:t>
      </w:r>
    </w:p>
    <w:p>
      <w:r>
        <w:t>Le principe de la bonne foi protège le citoyen dans la confiance légitime qu'il met dans les assurances reçues des autorités lorsqu'il a réglé sa conduite d'après des décisions, des déclarations ou un comportement déterminé de l'administration (ATF 138 I 49 consid. 8.3 ; ATF 137 II 182 consid. 3.6.2 ; arrêt du Tribunal fédéral 1C_18/2015 du 22 mai 2015 consid. 3 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w:t>
      </w:r>
    </w:p>
    <w:p>
      <w:r>
        <w:rPr>
          <w:b/>
        </w:rPr>
        <w:t>E. 14</w:t>
      </w:r>
    </w:p>
    <w:p>
      <w:r>
        <w:t>octobre 2004 in RDAF 2005 I). Le principe de la confiance est toutefois un élément à prendre en considération et non un facteur donnant en tant que tel naissance à un droit (arrêt du Tribunal fédéral du 14 octobre 2004 in RDAF 2005 I 71 ; Thierry TANQUEREL, Manuel de droit administratif, 2018, p. 203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203 s. n.</w:t>
      </w:r>
    </w:p>
    <w:p>
      <w:r>
        <w:t>- 5/9 - A/1060/2021 571). Toutefois,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3e éd., 2012, p. 930). 11.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 ATA/601/2015 précité consid. 5b ; Pierre MOOR/Alexandre FLÜCKIGER/Vincent MARTENET, Droit administratif, vol. 1, 2012, p. 922 ss). 12. En l'espèce, un agent assermenté a constaté que le véhicule du recourant était stationné en forêt, ce que le recourant ne conteste pas. Celui-ci invoque le principe de la protection de la bonne foi, au motif que le panneau mentionnant "ne pas stationner devant ce portail" l'aurait induit en erreur, lui laissant supposer qu'il n'était pas interdit de garer sa voiture ailleurs que devant le portail. Les conditions de la protection de la bonne foi telles que rappelées plus haut ne sont manifestement pas réunies en l'espèce. D'une part, comme l'a relevé l'autorité intimée, l'interdiction générale de stationner en forêt imposée par la loi (art. 16 al. 1 LForêts) poursuit un but de protection de ce milieu naturel, de sorte que le parcage des véhicules n'est autorisé que sur les parkings dûment signalés par des panneaux "parcage autorisé" (art. 48 de l'ordonnance sur la signalisation routière du 5 septembre 1979 (OSR - RS 741.21). Or, aucune indication autorisant le stationnement à cet endroit n'a été donnée par une autorité quelle qu'elle soit au recourant. On peine par ailleurs à suivre l'argument de ce dernier concernant le panneau fixé à la barrière, tant il apparait évident que cette interdiction vise non pas la protection du milieu forestier mais bien plus à assurer l'accès en tout temps sans entrave à ce chemin aux véhicules autorisés (art. 21 LForêts).</w:t>
      </w:r>
    </w:p>
    <w:p>
      <w:r>
        <w:t>- 6/9 - A/1060/2021 Le recourant qui a donc contrevenu à la LForêts en stationnant son véhicule hors des emplacements prévus à cet effet ne peut se prévaloir de la protection du principe de la bonne foi. Il sera également rappelé ici que le principe de la légalité de l'activité étatique (cf. art. 5 al. 1 Cst.) prévaut sur celui de l'égalité de traitement (ATF 134 IV 44 consid. 2c ;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127 II 113 consid. 9 et les références citées ; 127 I 1 consid. 3). Si l'autorité ne s'exprime pas sur ses intentions futures, l'autorité de recours présumera qu'elle se conformera au jugement qu'elle aura rendu (cf. ATF 115 Ia 81 consid. 2 et les références citées). Encore faut-il qu'il n'existe pas un intérêt public prépondérant au respect de la légalité qui conduise à donner la préférence à celle-ci au détriment de l'égalité de traitement (ATF 123 II 248 consid. 3c ; 115 Ia 81 consid. 2 et les références citées). La jurisprudence a également précisé qu'il était nécessaire que l'autorité n'ait pas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 (arrêts du Tribunal fédéral 2C_949/2019 du 11 mai 2020 consid. 6.3 ; 6B_921/2019 du</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350.- ; il est partiellement couvert par l'avance de frais versée à la suite du dépôt du recours.</w:t>
      </w:r>
    </w:p>
    <w:p>
      <w:r>
        <w:t>- 9/9 - A/1060/2021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