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JTAPI/860/2024 vom 29. August 2024</w:t>
      </w:r>
    </w:p>
    <w:p>
      <w:r>
        <w:t>GE Cour de justice, 2024-08-29, FR</w:t>
      </w:r>
    </w:p>
    <w:p>
      <w:r>
        <w:rPr>
          <w:b/>
        </w:rPr>
        <w:t xml:space="preserve">Quelle: </w:t>
      </w:r>
      <w:r>
        <w:t>https://mcp.opencaselaw.ch/entscheid/ge_gerichte_JTAPI_860_2024</w:t>
      </w:r>
    </w:p>
    <w:p>
      <w:r>
        <w:t>FR: GE_GERICHTE JTAPI/860/2024 du 29 août 2024</w:t>
      </w:r>
    </w:p>
    <w:p>
      <w:r>
        <w:t>IT: GE_GERICHTE JTAPI/860/2024 del 29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arrêt du Tribunal fédéral 1C_164/2019 du 20 janvier 2021 consid. 1). La distance constitue ainsi un critère essentiel, la jurisprudence reconnaissant généralement la qualité pour agir lorsque l'opposant est situé à une distance allant jusqu'à 100 mètres environ du projet litigieux (ATF 140 II 214 consid. 2.3 p. 219 et les arrêts cités ; arrêt du Tribunal fédéral 1C_112/2019 du 3 décembre 2019 consid. 3.1.3).</w:t>
      </w:r>
    </w:p>
    <w:p>
      <w:r>
        <w:rPr>
          <w:b/>
        </w:rPr>
        <w:t>E. 3</w:t>
      </w:r>
    </w:p>
    <w:p>
      <w:r>
        <w:t>La recevabilité du recours suppose encore que ses auteurs disposent de la qualité pour recourir.</w:t>
      </w:r>
    </w:p>
    <w:p>
      <w:r>
        <w:rPr>
          <w:b/>
        </w:rPr>
        <w:t>E. 4</w:t>
      </w:r>
    </w:p>
    <w:p>
      <w:r>
        <w:t>La qualité pour recourir est reconnue à toute personne atteinte par la décision attaquée et qui dispose d’un intérêt digne de protection à son annulation ou à sa modification (art. 60 let. b LPA).</w:t>
      </w:r>
    </w:p>
    <w:p>
      <w:r>
        <w:rPr>
          <w:b/>
        </w:rPr>
        <w:t>E. 5</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6</w:t>
      </w:r>
    </w:p>
    <w:p>
      <w:r>
        <w:t>En matière de droit des constructions, le voisin direct de la construction ou de l’installation litigieuse a en principe la qualité pour recourir (ATF 139 II 499 consid.</w:t>
      </w:r>
    </w:p>
    <w:p>
      <w:r>
        <w:rPr>
          <w:b/>
        </w:rPr>
        <w:t>E. 7</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arrêts du Tribunal fédéral 2C_727/2016 du 17 juillet 2017 consid. 4.2.3 ; 1C_226/2016 du</w:t>
      </w:r>
    </w:p>
    <w:p>
      <w:r>
        <w:t>- 9/17 - A/3223/2023 28 juin 2017 consid. 1.1). Le recourant doit ainsi rendre vraisemblables les nuisances qu’il allègue et sur la réalisation desquelles il fonde une relation spéciale et étroite avec l’objet de la contestation (ATF 125 I 173 consid. 1b ; arrêts du Tribunal fédéral 1C_469/2014 du 24 avril 2015 consid. 2.2 ; 1C_453/2014 du 23 février 2015 consid. 4.2 et 4.3).</w:t>
      </w:r>
    </w:p>
    <w:p>
      <w:r>
        <w:rPr>
          <w:b/>
        </w:rPr>
        <w:t>E. 8</w:t>
      </w:r>
    </w:p>
    <w:p>
      <w:r>
        <w:t>En l’espèce, les parcelles, propriétés des recourants, se situent toutes les trois le long du chemin V______ sur lequel la nouvelle passerelle va déboucher. Ils font par ailleurs tous valoir des griefs tirés du droit des constructions qui, s'ils sont admis, peuvent avoir une influence sur leur situation concrète. Leur qualité pour recourir contre l'autorisation de construire sera donc admise.</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10</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11</w:t>
      </w:r>
    </w:p>
    <w:p>
      <w:r>
        <w:t>La question de la recevabilité des griefs se distingue de celle de la recevabilité des conclusions, qui doivent être formées dans le délai de recours. En effet, l’absence de conclusions ne peut être réparée que dans le délai de recours. Hors ce délai, le fait d’être autorisé à compléter une écriture ne permet pas de suppléer le défaut de conclusions. De nouvelles conclusions ne peuvent pas non plus être présentées dans le mémoire de réplique (ATA/991/2021 du 27 septembre 2021 consid. 2b et les références citées). Partant, un recourant est en droit de faire valoir un nouvel argument au stade de sa réplique si celui-ci s’insère dans le cadre de sa conclusion initiale.</w:t>
      </w:r>
    </w:p>
    <w:p>
      <w:r>
        <w:rPr>
          <w:b/>
        </w:rPr>
        <w:t>E. 12</w:t>
      </w:r>
    </w:p>
    <w:p>
      <w:r>
        <w:t>Selon le système prévu par la LCI, les préavis des communes, des départements et des organismes intéressés n'ont qu'un caractère consultatif. L'autorité de décision,</w:t>
      </w:r>
    </w:p>
    <w:p>
      <w:r>
        <w:t>- 10/17 - A/3223/2023 qui n'est pas liée par ces préavis, reste libre de s'en écarter pour des motifs pertinents et en raison d'un intérêt public supérieur (art. 3 al. 3 LCI). Néanmoins, lorsque la consultation d'une instance de préavis est imposée par la loi, son préavis a un poids certain dans l'appréciation qu'est amenée à effectuer l'autorité de recours et il convient de ne pas le minimiser (ATA/456/2022 du 3 mai 2022 consid. 4b; ATA/659/2017 du 13 juin 2017 consid. 4b ; ATA/318/2017 du 21 mars 2017 consid. 8c).</w:t>
      </w:r>
    </w:p>
    <w:p>
      <w:r>
        <w:rPr>
          <w:b/>
        </w:rPr>
        <w:t>E. 13</w:t>
      </w:r>
    </w:p>
    <w:p>
      <w:r>
        <w:t>La délivrance d’autorisations de construire demeure de la compétence exclusive du département à qui il appartient de statuer en prenant en compte tous les intérêts en présence (ATA/259/2020 du 3 mars 2020 consid. 4b).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14</w:t>
      </w:r>
    </w:p>
    <w:p>
      <w:r>
        <w:t>Une recourante estime que la passerelle créera une atteinte à la biodiversité car se situant en partie dans la zone inconstructible. Elle retient une violation de la LFo, de même que de la LEaux-GE.</w:t>
      </w:r>
    </w:p>
    <w:p>
      <w:r>
        <w:rPr>
          <w:b/>
        </w:rPr>
        <w:t>E. 15</w:t>
      </w:r>
    </w:p>
    <w:p>
      <w:r>
        <w:t>Selon l’art. 1 al. 1 let. a LCI, nul ne peut, sur tout le territoire du canton, sans y avoir été autorisé, élever en tout ou partie une construction ou une installation. De même il n’est pas possible de modifier, même partiellement, le volume, l’architecture, la couleur, l’implantation, la distribution ou la destination d’une construction ou d’une installation sans autorisation (art. 1 al. 1 let. b LCI).</w:t>
      </w:r>
    </w:p>
    <w:p>
      <w:r>
        <w:rPr>
          <w:b/>
        </w:rPr>
        <w:t>E. 16</w:t>
      </w:r>
    </w:p>
    <w:p>
      <w:r>
        <w:t>A teneur de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(art. 22 al. 2 let. a LAT).</w:t>
      </w:r>
    </w:p>
    <w:p>
      <w:r>
        <w:rPr>
          <w:b/>
        </w:rPr>
        <w:t>E. 17</w:t>
      </w:r>
    </w:p>
    <w:p>
      <w:r>
        <w:t>Selon l'art. 15 al. 1 LEaux-GE, aucune construction ou installation, tant en sous-sol qu’en élévation, ne peut être édifiée à une distance de moins de 10, 30 et 50 m de la limite du cours d’eau, selon la carte des surfaces inconstructibles annexée à cette loi (s'il existe un projet de correction du cours d'eau, cette distance est mesurée à partir de la limite future). Cette carte et ses modifications ultérieures sont établies selon la procédure prévue par la loi générale sur les zones de développement, du 29 juin 1957. Toutefois, dans le cadre de projets de construction, le département peut accorder des dérogations, pour autant que celles-ci ne portent pas atteinte aux fonctions écologiques du cours d'eau et de ses rives ou à la sécurité des personnes et des biens,</w:t>
      </w:r>
    </w:p>
    <w:p>
      <w:r>
        <w:t>- 11/17 - A/3223/2023 notamment pour des constructions ou installations d'intérêt général dont l'emplacement est imposé par leur destination (al. 3 let. a) ou pour des constructions ou installations en relation avec le cours d'eau (al. 3 let. b). Ces dérogations doivent être approuvées par le département et faire l’objet d’une consultation de la commune (al. 4). Selon le texte de l’al. 4 en vigueur au moment de la délivrance de l’autorisation de construire, la commission des monuments, de la nature et des sites devait également être consultée.</w:t>
      </w:r>
    </w:p>
    <w:p>
      <w:r>
        <w:rPr>
          <w:b/>
        </w:rPr>
        <w:t>E. 18</w:t>
      </w:r>
    </w:p>
    <w:p>
      <w:r>
        <w:t>Il ressort des travaux qui ont présidé à la révision de la LEaux-GE et à l'adoption de l'art. 15 LEaux-GE que le législateur a traité les dérogations visées par cette disposition comme relevant des art. 24 et ss LAT (Rapport de la commission de l'environnement et de l'agriculture chargée d'étudier le projet de loi du Conseil d'État modifiant la loi sur les eaux - PL 8547, p. 7 ; premier débat, séance 5 du 15 novembre 2002). L'art. 15 al. 3 let. a LEaux-GE reprend la condition figurant à l'art. 24 let. a LAT, selon laquelle l'implantation de l'installation litigieuse hors de la zone à bâtir doit être imposée par sa destination. L'analyse de cette condition implique une évaluation du site et ne peut être séparée de l'examen des intérêts s'opposant au projet (Rudolf MUGGLI, Commentaire de la LAT, ad art. 24 LAT ; n° 6 ss). Cela étant, l'art. 15 al. 6 LEaux-GE (art. 15 al. 7 aLEaux-GE) prévoit que les constructions et installations existantes dûment autorisées, qui peuvent être utilisées conformément à leur destination mais qui ne sont pas conformes à l'affectation de la zone, bénéficient en principe de la garantie de la situation acquise. Le département peut autoriser la rénovation de telles constructions et installations, leur transformation partielle, leur agrandissement mesuré ou leur reconstruction.</w:t>
      </w:r>
    </w:p>
    <w:p>
      <w:r>
        <w:rPr>
          <w:b/>
        </w:rPr>
        <w:t>E. 19</w:t>
      </w:r>
    </w:p>
    <w:p>
      <w:r>
        <w:t>Selon l’art. 5 LFo, les défrichements sont interdits (al. 1). Selon l’al. 2, 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(let. a), l’ouvrage remplisse, du point de vue matériel, les conditions posées en matière d’aménagement du territoire (let. b) et que le défrichement ne présente pas de sérieux dangers pour l’environnement (let. c).</w:t>
      </w:r>
    </w:p>
    <w:p>
      <w:r>
        <w:rPr>
          <w:b/>
        </w:rPr>
        <w:t>E. 20</w:t>
      </w:r>
    </w:p>
    <w:p>
      <w:r>
        <w:t>En vertu de l’art. 7 LForêts, les dérogations à l'interdiction de défricher sont régies par la loi fédérale (al. 1). Les défrichements relevant de la compétence du canton sont autorisés par le département (al. 2). L’art. 8 LForêts règle les questions de compensation des défrichements.</w:t>
      </w:r>
    </w:p>
    <w:p>
      <w:r>
        <w:rPr>
          <w:b/>
        </w:rPr>
        <w:t>E. 21</w:t>
      </w:r>
    </w:p>
    <w:p>
      <w:r>
        <w:t>Conformément à l’art. 11 al. 1 LForêts, l’implantation de constructions à moins de 20 m de la lisière de la forêt, telle que constatée au sens de l’art. 4 LForêts, est interdite.</w:t>
      </w:r>
    </w:p>
    <w:p>
      <w:r>
        <w:t>- 12/17 - A/3223/2023 L’art. 11 al. 2 LForêts prévoit que le département peut accorder des dérogations pour des constructions ou installations d'intérêt général dont l'emplacement est imposé par leur destination (let. a), des constructions de peu d'importance contiguës au bâtiment principal ou des rénovations, reconstructions, transformations, ainsi que pour un léger agrandissement de constructions existantes (let. b) ou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w:t>
      </w:r>
    </w:p>
    <w:p>
      <w:r>
        <w:rPr>
          <w:b/>
        </w:rPr>
        <w:t>E. 22</w:t>
      </w:r>
    </w:p>
    <w:p>
      <w:r>
        <w:t>Les demandes d’autorisation de construire sont soumises, pour préavis, à la commune concernée ainsi qu’à l’office cantonal de l’agriculture et de la nature (art. 11 al. 3 LForêts). Selon le texte de l’al. 3 en vigueur au moment de la délivrance de l’autorisation de construire, la commission des monuments, de la nature et des sites devait également être consultée.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faire l’objet de compensations en faveur de la protection de la nature et du paysage (art. 11 al. 5 LForêts).</w:t>
      </w:r>
    </w:p>
    <w:p>
      <w:r>
        <w:rPr>
          <w:b/>
        </w:rPr>
        <w:t>E. 23</w:t>
      </w:r>
    </w:p>
    <w:p>
      <w:r>
        <w:t>De jurisprudence constante,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(ATA/792/2022 du 9 août 2022 consid. 6e; ATA/639/2020 du 30 juin 2020 consid. 4d).</w:t>
      </w:r>
    </w:p>
    <w:p>
      <w:r>
        <w:rPr>
          <w:b/>
        </w:rPr>
        <w:t>E. 24</w:t>
      </w:r>
    </w:p>
    <w:p>
      <w:r>
        <w:t>En l’espèce, toutes les instances de préavis, même la CMNS consultée dans le cadre de la présente procédure, se sont déclarées favorables au projet, y compris aux dérogations nécessaires.</w:t>
      </w:r>
    </w:p>
    <w:p>
      <w:r>
        <w:rPr>
          <w:b/>
        </w:rPr>
        <w:t>E. 25</w:t>
      </w:r>
    </w:p>
    <w:p>
      <w:r>
        <w:t>Concernant la violation de la LEaux-GE, hormis l’absence de préavis de la CMNS, la recourante ne fait valoir aucun grief de fond concernant la dérogation accordée selon l’art. 15 al. 3 LEaux-GE. Dès lors que la CMNS a rendu un préavis favorable</w:t>
      </w:r>
    </w:p>
    <w:p>
      <w:r>
        <w:t>- 13/17 - A/3223/2023 à ladite dérogation même s’il a été rendu ultérieurement à la délivrance de l’autorisation, aucune violation de la LEaux-GE ne peut être retenue et ce grief sera écarté. Concernant le respect de la LFo, une autorisation no 11_____ relative au défrichement temporaire et définitif a également été délivrée, laquelle analyse avec précision les différents considérations prises en compte pour autoriser le défrichement. Il en ressort que le projet de passerelle sera adapté à la mobilité douce et répondra précisément aux contraintes du secteur et au besoin de sécurisation des usagers, piétons et cyclistes. Le tracé prévu est identique à celui du pont piéton actuel et minimise au maximum l'impact sur l'espace environnant avec un empiétement de 6 m2 au maximum au-dessus du cadastre forestier. Le projet est inscrit au plan directeur communal de T______ et au plan directeur cantonal 2030. Ainsi, la nécessité de réaliser le projet à l'endroit prévu selon l'art. 5 al. 2 LFo est établie et les conditions posées en matière d'aménagement du territoire sont remplies (art. 5 al. 2 let. b LFo). De plus, toujours selon cette autorisation, la construction de la passerelle en zone forêt est exclusivement aérienne, hormis les socles d'installation. L'aménagement envisagé permettra d'avoir une structure qui répond aux normes pour les crues centennales et ne présente pas de danger particulier pour l'environnement (ex : érosion, catastrophes naturelles ou glissements de terrain). Les conditions relatives aux dangers pour l’environnement selon l’art. 5 al. 2 let. c LFo sont donc également remplies. Enfin, l’intérêt prépondérant à ce projet est de fournir un accès cyclable et piéton loin des routes à grande circulation pour rejoindre le centre du village de T______ en toute sécurité. Les impacts, même faibles sur la zone de forêt est ainsi inévitable mais le défrichement définit a été minimisé au maximum et sera compensé dans le secteur, ce qui permet de retenir que les exigences primant l'intérêt à la conservation de la forêt (art 5 al. 2 LFo) sont avérées. Pour terminer, les travaux envisagés et les modes de construction ont été adapté pour minier l’impact sur le sol forestier ; les conditions de la protection de la nature et du paysage sont donc respectés (art. 5 al. 4 LFo). Concernant les arbres hors forêt, force est de constater que l’OCAN a rendu un préavis liant favorable le 15 août 2023 autorisant sous conditions l’abattage de neuf thuyas. De plus, le plan d’aménagement paysager produit dans le dossier prévoit la conservation d’un important cordon boisé. Enfin l’éclairage de la passerelle sera intégré à la main courante avec une faible intensité et quatre mats d’éclairage situés uniquement sur chaque côté de la route sont prévus. Au vu de ce qui précède, le dossier a été analysé avec minutie et précision par les différentes instances de préavis qui ont toutes, comme déjà indiqué, rendu un</w:t>
      </w:r>
    </w:p>
    <w:p>
      <w:r>
        <w:t>- 14/17 - A/3223/2023 préavis favorable. L’analyse faite par l’OCAN dans le cadre de l’autorisation de défrichement temporaire et définitif est elle aussi détaillée et précise. En définitive, la recourante ne fait qu’opposer sa propre appréciation à celle de l’autorité.</w:t>
      </w:r>
    </w:p>
    <w:p>
      <w:r>
        <w:rPr>
          <w:b/>
        </w:rPr>
        <w:t>E. 26</w:t>
      </w:r>
    </w:p>
    <w:p>
      <w:r>
        <w:t>Ces griefs seront donc rejetés.</w:t>
      </w:r>
    </w:p>
    <w:p>
      <w:r>
        <w:rPr>
          <w:b/>
        </w:rPr>
        <w:t>E. 27</w:t>
      </w:r>
    </w:p>
    <w:p>
      <w:r>
        <w:t>Les recourants se plaignent des dangers et des nuisances que le projet engendrera, notamment en terme de sécurité des usagers du chemin V______ – visibilité du débouché du chemin V______ sur le chemin W______, cohabitation dangereuse entre les riverains motorisés manœuvrant dans le chemin V______ et les cyclistes venant de la passerelle, cohabitation entre les cyclistes et les piétons difficile du fait de la largeur non homogène de la passerelle.</w:t>
      </w:r>
    </w:p>
    <w:p>
      <w:r>
        <w:rPr>
          <w:b/>
        </w:rPr>
        <w:t>E. 28</w:t>
      </w:r>
    </w:p>
    <w:p>
      <w:r>
        <w:t>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rPr>
          <w:b/>
        </w:rPr>
        <w:t>E. 29</w:t>
      </w:r>
    </w:p>
    <w:p>
      <w:r>
        <w:t>Selon la jurisprudence, cette disposition n'a pas pour but d’empêcher toute construction dans une zone à bâtir qui aurait des effets sur la situation ou le bien- 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(ATA/828/2015 du 11 août 2015 consid. 12a et références citées).</w:t>
      </w:r>
    </w:p>
    <w:p>
      <w:r>
        <w:rPr>
          <w:b/>
        </w:rPr>
        <w:t>E. 30</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 ATA/284/2016 du 5 avril 2016 consid. 9b).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(ATA/1060/2023 du 26 septembre 2023 consid. 5.2. et l'arrêt cité ; ATA/448/2021 du 27 avril 2021 consid. 8a ; ATA/259/2020 du 3 mars 2020 consid. 7a).</w:t>
      </w:r>
    </w:p>
    <w:p>
      <w:r>
        <w:t>- 15/17 - A/3223/2023 La notion d'inconvénients graves est une norme juridique indéterminée, qui doit s'examiner en fonction de la nature de l'activité en cause et qui laisse à l'autorité une liberté d'appréciation. Celle-ci n'est limitée que par l'excès ou l'abus du pouvoir d'appréciation (ATA/1060/2023 précité consid. 5.2. et la référence citée). Le pouvoir d'examen du tribunal s'exerce dans les limites précitées, sous réserve du respect du principe de proportionnalité en cas de refus malgré un préavis favorable et de l'intérêt public en cas d'octroi d'une autorisation (cf. not. ATA/1101/2022 du 1er novembre 2022 consid. 5b et les références).</w:t>
      </w:r>
    </w:p>
    <w:p>
      <w:r>
        <w:rPr>
          <w:b/>
        </w:rPr>
        <w:t>E. 31</w:t>
      </w:r>
    </w:p>
    <w:p>
      <w:r>
        <w:t>En l’espèce, le projet vise le remplacement d’une passerelle existante sur U______ en l’agrandissant et en la sécurisant, permettant la création d’une voie à mobilité douce, soit pour les piétons et les cyclistes. Aucune modification n’est apportée au débouché du chemin V______ sur le chemin W______. Toutes les instances de préavis consultées dans le cadre de l’instruction de la requête, composées de spécialistes, ont préavisé favorablement le projet. En particulier, l’OCT a analysé le projet à deux reprises, rendant un premier préavis favorable le 26 juin 2023 et un second le 11 août 2023, sous conditions : il a notamment posé comme condition, côté V______ le respect de son préavis liant relatif de la réglementation de la circulation sur la future passerelle. Il n’a relevé aucun problème concernant la largeur de la passerelle. Aucun élément ne permet par ailleurs de retenir que la cohabitation entre les cyclistes et les véhicules empruntant le chemin V______ serait dangereuse, chaque utilisateur devant faire preuve de l’attention nécessaire, étant rappelé que les recourants n’ont pour leur part pas un droit à manœuvrer dans le chemin en marche arrière ni à se parquer. Concernant le grief relatif à la mauvaise visibilité du débouché du chemin V______ sur le chemin W______, force est de constater il n’est pas concerné par le projet et donc exorbitant au présent litige. Enfin, si les recourants entendent se plaindre du comportement inadapté des futurs utilisateurs de la passerelle, il leur sera toujours possible, cas échéant, de saisir les autorités civiles ou pénales compétentes, ce qui ne relève pas du champ d’application de l’art. 14 LCI (ATA/653/2021).</w:t>
      </w:r>
    </w:p>
    <w:p>
      <w:r>
        <w:rPr>
          <w:b/>
        </w:rPr>
        <w:t>E. 32</w:t>
      </w:r>
    </w:p>
    <w:p>
      <w:r>
        <w:t>Ce grief sera ainsi rejeté.</w:t>
      </w:r>
    </w:p>
    <w:p>
      <w:r>
        <w:rPr>
          <w:b/>
        </w:rPr>
        <w:t>E. 33</w:t>
      </w:r>
    </w:p>
    <w:p>
      <w:r>
        <w:t>Enfin, les recourants estiment que le département aurait dû analyser si d’autres alternatives existaient.</w:t>
      </w:r>
    </w:p>
    <w:p>
      <w:r>
        <w:rPr>
          <w:b/>
        </w:rPr>
        <w:t>E. 34</w:t>
      </w:r>
    </w:p>
    <w:p>
      <w:r>
        <w:t>Selon l’art. 1 al. 6 LCI, dès que les conditions légales sont réunies, le département est tenu de délivrer l'autorisation de construire.</w:t>
      </w:r>
    </w:p>
    <w:p>
      <w:r>
        <w:rPr>
          <w:b/>
        </w:rPr>
        <w:t>E. 35</w:t>
      </w:r>
    </w:p>
    <w:p>
      <w:r>
        <w:t>En l’espèce, dès lors que les conditions d’autorisation étaient remplies, comme cela a été confirmé dans les considérants qui précèdent, c’est à juste titre que le département a délivré l’autorisation querellée et il ne lui revenait, pas plus qu’au tribunal, d'examiner si d'autres alternatives au projet étaient envisageables</w:t>
      </w:r>
    </w:p>
    <w:p>
      <w:r>
        <w:t>- 16/17 - A/3223/2023</w:t>
      </w:r>
    </w:p>
    <w:p>
      <w:r>
        <w:rPr>
          <w:b/>
        </w:rPr>
        <w:t>E. 36</w:t>
      </w:r>
    </w:p>
    <w:p>
      <w:r>
        <w:t>Au vu de ce qui précède, les recours seront rejetés et la décision querellée confirmée.</w:t>
      </w:r>
    </w:p>
    <w:p>
      <w:r>
        <w:rPr>
          <w:b/>
        </w:rPr>
        <w:t>E. 37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1’300.- ; il est couvert par les avances de frais versées à la suite du dépôt du recours. Le solde des avances de frais leur sera restitué. Ayant eu recours au service d'un avocat pour les besoins de la procédure et conclu à l'allocation de dépens, la commune de T______, qui compte moins de 10'000 habitants, se verra allouer, à la charge des recourants, pris conjointement et solidairement, une indemnité de procédure arrêtée à CHF 2'500.- (ATA/187/2021 du 23 février 2021, art. 87 al. 2 LPA). Aucune indemnité ne sera versé aux autres parties intimées.</w:t>
      </w:r>
    </w:p>
    <w:p>
      <w:r>
        <w:t>- 17/17 - A/3223/2023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