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JTAPI/855/2024 vom 29. August 2024</w:t>
      </w:r>
    </w:p>
    <w:p>
      <w:r>
        <w:t>GE Cour de justice, 2024-08-29, FR</w:t>
      </w:r>
    </w:p>
    <w:p>
      <w:r>
        <w:rPr>
          <w:b/>
        </w:rPr>
        <w:t xml:space="preserve">Quelle: </w:t>
      </w:r>
      <w:r>
        <w:t>https://mcp.opencaselaw.ch/entscheid/ge_gerichte_JTAPI_855_2024</w:t>
      </w:r>
    </w:p>
    <w:p>
      <w:r>
        <w:t>FR: GE_GERICHTE JTAPI/855/2024 du 29 août 2024</w:t>
      </w:r>
    </w:p>
    <w:p>
      <w:r>
        <w:t>IT: GE_GERICHTE JTAPI/855/2024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- 7/14 - A/136/2024</w:t>
      </w:r>
    </w:p>
    <w:p>
      <w:r>
        <w:rPr>
          <w:b/>
        </w:rPr>
        <w:t>E. 1.5</w:t>
      </w:r>
    </w:p>
    <w:p>
      <w:r>
        <w:t>;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2</w:t>
      </w:r>
    </w:p>
    <w:p>
      <w:r>
        <w:t>Interjeté en temps utile, vu la suspension des délais entre le 18 décembre et le 2 janvier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6</w:t>
      </w:r>
    </w:p>
    <w:p>
      <w:r>
        <w:t>Aucune construction ou installation ne peut être créée ou transformée sans autorisation de l'autorité compétente (art. 22 al. 1 de la loi fédérale sur l'aménagement du territoire du 22 juin 1979 - LAT - RS 700).</w:t>
      </w:r>
    </w:p>
    <w:p>
      <w:r>
        <w:rPr>
          <w:b/>
        </w:rPr>
        <w:t>E. 7</w:t>
      </w:r>
    </w:p>
    <w:p>
      <w:r>
        <w:t>Aux termes de l'art. 1 al. 1 let. a LCI,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rPr>
          <w:b/>
        </w:rPr>
        <w:t>E. 8</w:t>
      </w:r>
    </w:p>
    <w:p>
      <w:r>
        <w:t>Aucun travail ne doit être entrepris avant que l'autorisation ait été délivrée (art. 1 al. 7 LCI).</w:t>
      </w:r>
    </w:p>
    <w:p>
      <w:r>
        <w:t>- 8/14 - A/136/2024</w:t>
      </w:r>
    </w:p>
    <w:p>
      <w:r>
        <w:rPr>
          <w:b/>
        </w:rPr>
        <w:t>E. 9</w:t>
      </w:r>
    </w:p>
    <w:p>
      <w:r>
        <w:t>La recourante estime que l’ordre de remise en état serait contraire aux principes de la bonne foi et de la proportionnalité, et que son intérêt privé à permettre le maintien de son usage par les employés du groupe E______ serait prépondérant.</w:t>
      </w:r>
    </w:p>
    <w:p>
      <w:r>
        <w:rPr>
          <w:b/>
        </w:rPr>
        <w:t>E. 10</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rPr>
          <w:b/>
        </w:rPr>
        <w:t>E. 11</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12</w:t>
      </w:r>
    </w:p>
    <w:p>
      <w:r>
        <w:t>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ATA/1334/2019 du 3 septembre 2019 consid. 2c ; ATA/70/2018 du 23 janvier 2018 consid. 7d et les arrêts cités). Le perturbateur par situation correspond avant tout au propriétaire, le critère déterminant étant le pouvoir de disposition, qui permet à celui qui le détient de maintenir la chose dans un état conforme à la réglementation en vigueur (cf. ATA/1334/2019 du 3 septembre 2019 consid. 2c et les arrêts cités).</w:t>
      </w:r>
    </w:p>
    <w:p>
      <w:r>
        <w:rPr>
          <w:b/>
        </w:rPr>
        <w:t>E. 13</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w:t>
      </w:r>
    </w:p>
    <w:p>
      <w:r>
        <w:t>- 9/14 - A/136/2024 elle ne saurait tirer aucun avantage des conséquences d’une incorrection ou insuffisance de sa part (ATF 138 I 49 consid. 8.3 ; arrêt du Tribunal fédéral 1C_341/2019 du 24 août 2020 consid. 7.1).</w:t>
      </w:r>
    </w:p>
    <w:p>
      <w:r>
        <w:rPr>
          <w:b/>
        </w:rPr>
        <w:t>E. 14</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w:t>
      </w:r>
    </w:p>
    <w:p>
      <w:r>
        <w:t>- 10/14 - A/136/2024 intervention violerait le principe de la bonne foi (arrêts 1C_114/2011 du 8 juin 2011 consid. 4.2 ; 1C_181/2009 du 24 juin 2009 consid. 3.3). Des délais de vingt-quatre voire vingt ans peuvent suffire (arrêt du Tribunal fédéral 1C_176/2009 du 28 janvier 2010 consid. 2.2.2 et les références citées). Récemment, la chambre administrative a retenu une telle violation dans le cadre de la présence d’un paddock et d’un marcheur dans un manège pendant plus de vingt ans (ATA/77/2023 du 24 janvier 2023).</w:t>
      </w:r>
    </w:p>
    <w:p>
      <w:r>
        <w:rPr>
          <w:b/>
        </w:rPr>
        <w:t>E. 15</w:t>
      </w:r>
    </w:p>
    <w:p>
      <w:r>
        <w:t>Par ailleurs, 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rPr>
          <w:b/>
        </w:rPr>
        <w:t>E. 16</w:t>
      </w:r>
    </w:p>
    <w:p>
      <w:r>
        <w:t>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17</w:t>
      </w:r>
    </w:p>
    <w:p>
      <w:r>
        <w:t>L'ordre de démolir une construction ou un ouvrage édifié sans permis et pour lequel une autorisation ne pouvait être accordée n'est en principe pas contraire au principe de la proportionnalité. Celui qui place l'autorité devant un fait accompli doit en effet s'attendre à ce que celle-ci se préoccupe plus de rétablir une situation conforme au droit que d'éviter les inconvénients qui en découlent pour lui (ATF 123 II 248 consid. 4a et les références ; arrêts du Tribunal fédéral 1C_114/2018 du 21 juin 2019 consid. 5.1.2 ; 1C_237/2018 du 29 janvier 2019 consid. 2.3 ; 1C_418/2016 du 28 février 2017 consid. 5.1 ; 1C_29/2016 du 18 janvier 2017 consid. 7.1 ; 1C_122/2016 du 7 septembre 2016 consid. 6.1).</w:t>
      </w:r>
    </w:p>
    <w:p>
      <w:r>
        <w:rPr>
          <w:b/>
        </w:rPr>
        <w:t>E. 18</w:t>
      </w:r>
    </w:p>
    <w:p>
      <w:r>
        <w:t>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 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w:t>
      </w:r>
    </w:p>
    <w:p>
      <w:r>
        <w:t>- 11/14 - A/136/2024 du 16 février 2016 consid. 4.4 ; 1C_537/2011 du 26 avril 2012). Néanmoins, un intérêt purement économique ne saurait avoir le pas sur l’intérêt public au rétablissement d’une situation conforme au droit (arrêt du Tribunal fédéral 1C_544/ 2014 du 1er avril 2015 consid. 4.2).</w:t>
      </w:r>
    </w:p>
    <w:p>
      <w:r>
        <w:rPr>
          <w:b/>
        </w:rPr>
        <w:t>E. 19</w:t>
      </w:r>
    </w:p>
    <w:p>
      <w:r>
        <w:t>Le postulat selon lequel le respect du principe de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w:t>
      </w:r>
    </w:p>
    <w:p>
      <w:r>
        <w:rPr>
          <w:b/>
        </w:rPr>
        <w:t>E. 20</w:t>
      </w:r>
    </w:p>
    <w:p>
      <w:r>
        <w:t>En l'occurrence, propriétaire de la parcelle n° 4______ sur laquelle est réalisée la véranda-bureau litigieuse, la recourante est - à tout le moins - perturbatrice par situation. La construction querellée n'a pas été autorisée en vertu du droit en vigueur au moment de sa réalisation et le département a refusé sa régularisation, décision qu'a confirmée le tribunal par jugement de ce jour JTAPI/15______/2024. Erigée à une date avoisinant l'année 2009, la prescription trentenaire ne s'applique pas. Contrairement à ce qu'elle tente de soutenir, la recourante ne saurait se prévaloir du principe de la bonne foi pour s’opposer à l’ordre de remise en état. En effet, aucun élément du dossier ne permet de retenir que l’autorité intimée aurait créé, par des promesses, des informations, des assurances ou un comportement, des conditions telles qu’elle serait liée par la bonne foi s’agissant de la construction litigieuse non autorisée. Au contraire, force est de constater que dans le cadre de l'instruction de la demande d'autorisation de construire, déposée en septembre 2019, et avant même qu'il ait décidé d'ouvrir une procédure d'infraction, le département a sans tarder (soit le 4 décembre 2019) fait part à la requérante des éléments problématiques du dossier, lui transmettant à ce sujet les préavis des instances concernées avec leurs demandes de compléments ainsi que les deux préavis qui étaient d'emblée négatifs. Aucun élément du dossier ne permet ainsi de considérer que le département aurait exprimé une quelconque assurance que la construction serait sans autre autorisée. Le fait que la construction ait été réalisée, sans droit, vers 2009, ne permet pas une autre conclusion, la recourante ne démontrant aucunement que le département aurait eu connaissance de son existence et encore moins qu'il l'aurait tolérée d'une façon ou d'une autre. Par ailleurs, la construction litigieuse ne saurait être qualifiée de mineure. En effet, elle porte sur une surface de plus de 296 m2 affectée exclusivement à l'activité professionnelle de C______ alors qu'elle prend place en zone villa. En outre, compte tenu de l'attitude de la recourante, laquelle n'a cessé de requérir des délais successifs durant les quatre ans qu'a duré la procédure visant la régularisation de cette construction, force est de constater qu'elle a adopté un comportement contraire</w:t>
      </w:r>
    </w:p>
    <w:p>
      <w:r>
        <w:t>- 12/14 - A/136/2024 au devoir de collaboration attendu dans le cadre d'une mise en conformité, de sorte que le département n'a eu d'autre choix que de refuser l'autorisation requise, notamment en raison du fait qu'il n'a jamais pu obtenir les éléments et documents dûment sollicités dans le cadre de l'instruction de la demande. En outre, la pesée entre l'intérêt privé de la recourante, qui se contente de soutenir sans le démontrer que la véranda-bureau est indispensable à l'activité du groupe, consistant à permettre à sa locataire l'usage de la construction érigée sans droit et l'intérêt public à rétablir une situation ne contrevenant pas au but poursuivi par la LCI, dont en particulier le respect des règles applicables dans la zone 5, conduit à privilégier ce dernier.</w:t>
      </w:r>
    </w:p>
    <w:p>
      <w:r>
        <w:t>Dans la mesure où la recourante a placé l'autorité devant le fait accompli, elle ne peut pas se prévaloir de sa bonne foi, puisque tout montre qu'elle a sciemment procédé à la construction sans être au bénéfice d'une autorisation de construire, laquelle s'avérait de toute évidence indispensable, ce qu'elle ne pouvait pas ignorer compte tenu de son statut de professionnelle de l'immobilier, et elle devait s'attendre à ce que l'autorité se préoccupe davantage de rétablir une situation conforme au droit que des inconvénients qui pourraient en découler pour elle, d'autant plus que la possibilité de tenter de régulariser la situation en requérant une autorisation dans le respect des exigences légales et réglementaire lui a largement été donnée. La renonciation à l'ordre querellé constituerait ainsi une prime à l'illégalité et au fait accompli, ce que rien ne justifie. Enfin, la recourante ne se prévaut ni de coûts de remise en état disproportionnés et/ou qu'elle ne serait pas en mesure de supporter (cf. arrêt du Tribunal fédéral 1C_370/2015 du 16 février 2016 consid. 4.4), ni d'une éventuelle impossibilité technique, ou d'un autre ordre, qui empêcherait la remise en état de son bien. Elle ne conteste pas davantage le délai imparti pour procéder à la remise en état.</w:t>
      </w:r>
    </w:p>
    <w:p>
      <w:r>
        <w:t>Dans ces conditions, force est d'admettre que le prononcé de la décision entreprise, qui repose sur la préservation d'un intérêt public suffisant, demeure proportionné et ne laisse pas apparaître, d'une autre façon, un excès ou un abus du pouvoir d'appréciation du département.</w:t>
      </w:r>
    </w:p>
    <w:p>
      <w:r>
        <w:rPr>
          <w:b/>
        </w:rPr>
        <w:t>E. 21</w:t>
      </w:r>
    </w:p>
    <w:p>
      <w:r>
        <w:t>La recourante conclut à titre subsidiaire à ce que la construction litigieuse devrait être maintenue à titre précaire.</w:t>
      </w:r>
    </w:p>
    <w:p>
      <w:r>
        <w:rPr>
          <w:b/>
        </w:rPr>
        <w:t>E. 22</w:t>
      </w:r>
    </w:p>
    <w:p>
      <w:r>
        <w:t>L'art. 139 al. 1 LCI donne à l'autorité exécutive la latitude de s'incliner devant le fait accompli et d'accorder par un acte de souveraineté une dérogation générale quant à la nature des constructions (ATA/403/2002 du 23 juillet 2002, consid. 17). La jurisprudence a par ailleurs confirmé qu'à Genève, le maintien à titre précaire suppose une requête et une décision du Conseil d'État (cf. consid. 6).</w:t>
      </w:r>
    </w:p>
    <w:p>
      <w:r>
        <w:rPr>
          <w:b/>
        </w:rPr>
        <w:t>E. 23</w:t>
      </w:r>
    </w:p>
    <w:p>
      <w:r>
        <w:t>En l'occurrence, la recourante n'a pas déposé une telle demande basée sur l'art. 139 al. 1 LCI. La décision querellée étant circonscrites à l'ordre de remise en état, le tribunal ne saurait entrer en matière sur la question du maintien à titre précaire de</w:t>
      </w:r>
    </w:p>
    <w:p>
      <w:r>
        <w:t>- 13/14 - A/136/2024 la construction litigieuse dans la mesure où cette question ne relève pas de la compétence du tribunal et où elle ne constitue pas l'objet du litige. Partant, le grief est rejeté.</w:t>
      </w:r>
    </w:p>
    <w:p>
      <w:r>
        <w:rPr>
          <w:b/>
        </w:rPr>
        <w:t>E. 24</w:t>
      </w:r>
    </w:p>
    <w:p>
      <w:r>
        <w:t>Entièrement mal fondé, le recours sera rejeté et l'ordre de démolition confirmé.</w:t>
      </w:r>
    </w:p>
    <w:p>
      <w:r>
        <w:rPr>
          <w:b/>
        </w:rPr>
        <w:t>E. 25</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versée à la suite du dépôt du recours. Vu l’issue du litige, aucune indemnité de procédure ne sera allouée (art. 87 al. 2 LPA).</w:t>
      </w:r>
    </w:p>
    <w:p>
      <w:r>
        <w:t>- 14/14 - A/136/2024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