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JTAPI/852/2024 vom 26. August 2024</w:t>
      </w:r>
    </w:p>
    <w:p>
      <w:r>
        <w:t>GE Cour de justice, 2024-08-26, FR</w:t>
      </w:r>
    </w:p>
    <w:p>
      <w:r>
        <w:rPr>
          <w:b/>
        </w:rPr>
        <w:t xml:space="preserve">Quelle: </w:t>
      </w:r>
      <w:r>
        <w:t>https://mcp.opencaselaw.ch/entscheid/ge_gerichte_JTAPI_852_2024</w:t>
      </w:r>
    </w:p>
    <w:p>
      <w:r>
        <w:t>FR: GE_GERICHTE JTAPI/852/2024 du 26 août 2024</w:t>
      </w:r>
    </w:p>
    <w:p>
      <w:r>
        <w:t>IT: GE_GERICHTE JTAPI/852/2024 del 26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LPFisc).</w:t>
      </w:r>
    </w:p>
    <w:p>
      <w:r>
        <w:rPr>
          <w:b/>
        </w:rPr>
        <w:t>E. 2</w:t>
      </w:r>
    </w:p>
    <w:p>
      <w:r>
        <w:t>Interjeté en temps utile et dans les formes prescrites devant la juridiction compétente, le recours est recevable au sens de l’art. 49 LPFisc.</w:t>
      </w:r>
    </w:p>
    <w:p>
      <w:r>
        <w:rPr>
          <w:b/>
        </w:rPr>
        <w:t>E. 3</w:t>
      </w:r>
    </w:p>
    <w:p>
      <w:r>
        <w:t>En matière de réclamation, 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réclamation des recourants, en raison de sa tardiveté. Il en résulte que des griefs relatifs au bien-fondé des bordereaux en cause sont irrecevables.</w:t>
      </w:r>
    </w:p>
    <w:p>
      <w:r>
        <w:rPr>
          <w:b/>
        </w:rPr>
        <w:t>E. 4</w:t>
      </w:r>
    </w:p>
    <w:p>
      <w:r>
        <w:t>À teneur de l’art.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(41 al. 1 LPFisc). Selon l’art. 39 al. 2 LPFisc, la réclamation contre une taxation d’office doit être motivée et indiquer, le cas échéant, les moyens de preuve.</w:t>
      </w:r>
    </w:p>
    <w:p>
      <w:r>
        <w:rPr>
          <w:b/>
        </w:rPr>
        <w:t>E. 5</w:t>
      </w:r>
    </w:p>
    <w:p>
      <w:r>
        <w:t>Les délais fixés par la loi sont des dispositions impératives de droit public. Ils ne sont en principe pas susceptibles d’être prolongés, restitués ou suspendus, si ce n’est par le législateur lui-même (art. 21 al. 1 LPFisc). Ainsi, celui qui n’agit pas dans le délai prescrit est forclos (ATA/599/2023 du 6 juin 2023 consid. 3.2 et les références citées).</w:t>
      </w:r>
    </w:p>
    <w:p>
      <w:r>
        <w:t>- 4/6 - A/449/2024 L’application stricte des règles relatives aux délais légaux ne relève pas d’un formalisme excessif, mais se justifie dans l’intérêt d’un bon fonctionnement de la justice et de la sécurité du droit, ainsi que pour des motifs d’égalité de traitement (cf. arrêt du Tribunal fédéral 9C_304/2023 du 21 février 2024 consid. 6.2.2).</w:t>
      </w:r>
    </w:p>
    <w:p>
      <w:r>
        <w:rPr>
          <w:b/>
        </w:rPr>
        <w:t>E. 6</w:t>
      </w:r>
    </w:p>
    <w:p>
      <w:r>
        <w:t>En l’espèce, les recourants indiquent, dans leur recours, avoir reçu la taxation finale 2021 le 13 septembre 2023. Le délai de réclamation a donc commencé à courir le lendemain pour arriver à échéance le vendredi 13 octobre 2023. En conséquence, leur réclamation du 21 décembre 2023 est manifestement tardive. Les recourants font valoir des difficultés personnelles et l’inaction de la fiduciaire qu’ils avaient consultée ; ils sollicitent dès lors de la compréhension et de la bienveillance, faisant en réalité valoir, à tout le moins implicitement, une restitution de ce délai pour les motifs précités.</w:t>
      </w:r>
    </w:p>
    <w:p>
      <w:r>
        <w:rPr>
          <w:b/>
        </w:rPr>
        <w:t>E. 7</w:t>
      </w:r>
    </w:p>
    <w:p>
      <w:r>
        <w:t>Selon l’art.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Les cas de force majeure sont également réservés. Tombent sous cette notion les événements extraordinaires et imprévisibles qui surviennent en dehors de la sphère d’activité de l’intéressé et qui s’imposent à lui de façon irrésistible (ATA/599/2023 du 6 juin 2023 consid. 3.3 et les références citées). Les conditions pour admettre un empêchement sont très strictes. Ce dernier doit être imprévisible et sa survenance ne doit pas être imputable à faute à l'administré, partant de son représentant (ATA/184/2024 du 6 février 2024 consid. 2.2). Pour établir l’existence d’un cas de force majeure, le fardeau de la preuve incombe à l’assujetti (ATA/815/2022 du 17 août 2022 consid. 2). La maladie n’est admise comme motif d'excuse que si elle empêche le recourant d'agir par lui-même ou de donner à un tiers les instructions nécessaires pour agir à sa place. Ainsi, selon la jurisprudence, le seul état de santé déficient au moment de la notification de la décision est insuffisant, de même qu’une dépression importante. Même le cas d’un administré atteint d’un cancer dont la situation de santé se péjorait et le traitement s’alourdissait, nonobstant un certificat mentionnant la nécessité de soins de l’intéressé et son incapacité à pouvoir gérer sa vie professionnelle et</w:t>
      </w:r>
    </w:p>
    <w:p>
      <w:r>
        <w:t>- 5/6 - A/449/2024 personnelle pendant six mois n’a pas été considéré comme cas de force majeure (ATA/702/2024 du 10 juin 2024 consid. 3.2).</w:t>
      </w:r>
    </w:p>
    <w:p>
      <w:r>
        <w:rPr>
          <w:b/>
        </w:rPr>
        <w:t>E. 8</w:t>
      </w:r>
    </w:p>
    <w:p>
      <w:r>
        <w:t>Lorsqu’il mandate une fiduciaire,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agit par lui-même par la possibilité de se soustraire à sa responsabilité en se retranchant derrière son représentant pour des fautes qui lui sont imputables (cf. arrêt du Tribunal fédéral 2C_78/2019 du 20 septembre 2019 consid. 6.3), étant rappelé que, selon la jurisprudence constante du Tribunal fédéral et de la chambre administrative de la Cour de justice, les actes du représentant sont opposables au représenté comme les siens propres (arrêts du Tribunal fédéral 2C_577/2013 du 4 février 2014 consid. 6.1 ; 2C_280/2013 du 6 avril 2013 ; ATA/150/2021 du 9 février 2021 consid. 5b ; ATA/1127/2020 du</w:t>
      </w:r>
    </w:p>
    <w:p>
      <w:r>
        <w:rPr>
          <w:b/>
        </w:rPr>
        <w:t>E. 10</w:t>
      </w:r>
    </w:p>
    <w:p>
      <w:r>
        <w:t>Au vu de ce qui précède, c’est à bon droit que l’AFC-GE a déclaré irrecevable la réclamation des recourants. Partant, le recours sera rejeté.</w:t>
      </w:r>
    </w:p>
    <w:p>
      <w:r>
        <w:rPr>
          <w:b/>
        </w:rPr>
        <w:t>E. 11</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qui succombent, sont condamnés au paiement d’un émolument s’élevant à CHF 500.- ; il est couvert par l’avance de frais versées à la suite du dépôt des recours. Le solde de cette avance leur sera restitué. Vu l’issue du litige, aucune indemnité de procédure ne sera allouée (art. 87 al. 2 LPA).</w:t>
      </w:r>
    </w:p>
    <w:p>
      <w:r>
        <w:t>- 6/6 - A/449/2024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