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JTAPI/851/2024 vom 29. August 2024</w:t>
      </w:r>
    </w:p>
    <w:p>
      <w:r>
        <w:t>GE Cour de justice, 2024-08-29, FR</w:t>
      </w:r>
    </w:p>
    <w:p>
      <w:r>
        <w:rPr>
          <w:b/>
        </w:rPr>
        <w:t xml:space="preserve">Quelle: </w:t>
      </w:r>
      <w:r>
        <w:t>https://mcp.opencaselaw.ch/entscheid/ge_gerichte_JTAPI_851_2024</w:t>
      </w:r>
    </w:p>
    <w:p>
      <w:r>
        <w:t>FR: GE_GERICHTE JTAPI/851/2024 du 29 août 2024</w:t>
      </w:r>
    </w:p>
    <w:p>
      <w:r>
        <w:t>IT: GE_GERICHTE JTAPI/851/2024 del 29 agosto 2024</w:t>
      </w:r>
    </w:p>
    <w:p>
      <w:pPr>
        <w:pStyle w:val="Heading2"/>
      </w:pPr>
      <w:r>
        <w:t>Erwägungen</w:t>
      </w:r>
    </w:p>
    <w:p>
      <w:r>
        <w:rPr>
          <w:b/>
        </w:rPr>
        <w:t>E. 30</w:t>
      </w:r>
    </w:p>
    <w:p>
      <w:r>
        <w:t>Selon la recourante, le département a violé le principe de la bonne foi en refusant d'accorder une dérogation à l'art. 19 al. 3 LaLAT.</w:t>
      </w:r>
    </w:p>
    <w:p>
      <w:r>
        <w:rPr>
          <w:b/>
        </w:rPr>
        <w:t>E. 31</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32</w:t>
      </w:r>
    </w:p>
    <w:p>
      <w:r>
        <w:t>En l’espèce, rien au dossier ne permet de retenir que l'autorité intimée aurait fait une promesse concrète à la recourante ou à son architecte, quant au fait que la demande d’autorisation de construire portant sur la régularisation de la véranda- bureau serait acceptée. Pour ces motifs, le grief de violation du principe de la bonne foi devra être écarté.</w:t>
      </w:r>
    </w:p>
    <w:p>
      <w:r>
        <w:rPr>
          <w:b/>
        </w:rPr>
        <w:t>E. 33</w:t>
      </w:r>
    </w:p>
    <w:p>
      <w:r>
        <w:t>La recourante, se référant à un article de presse concernant l'établissement de « La Réserve », invoque une violation du principe d’égalité de traitement.</w:t>
      </w:r>
    </w:p>
    <w:p>
      <w:r>
        <w:rPr>
          <w:b/>
        </w:rPr>
        <w:t>E. 34</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w:t>
      </w:r>
    </w:p>
    <w:p>
      <w:r>
        <w:t>- 17/18 - A/133/2024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35</w:t>
      </w:r>
    </w:p>
    <w:p>
      <w:r>
        <w:t>En l’espèce, la recourante ne démontre en rien l’inégalité de traitement dont elle ferait l’objet. L'article de presse évoqué concerne apparemment l'affectation en résidence d'une villa située en zone 5 sans toutefois que l’on puisse en déduire que la situation de l'établissement en question aurait été identique à celle de la recourante – étant par ailleurs souligné que la situation de l'établissement en question concernait semble-t-il une maison existante alors que le projet querellé concerne une nouvelle construction érigée sans droit.</w:t>
      </w:r>
    </w:p>
    <w:p>
      <w:r>
        <w:rPr>
          <w:b/>
        </w:rPr>
        <w:t>E. 36</w:t>
      </w:r>
    </w:p>
    <w:p>
      <w:r>
        <w:t>Ce grief sera lui aussi écarté.</w:t>
      </w:r>
    </w:p>
    <w:p>
      <w:r>
        <w:rPr>
          <w:b/>
        </w:rPr>
        <w:t>E. 37</w:t>
      </w:r>
    </w:p>
    <w:p>
      <w:r>
        <w:t>En conclusion, la décision de refus d'autorisation de construire ne peut qu'être confirmée.</w:t>
      </w:r>
    </w:p>
    <w:p>
      <w:r>
        <w:rPr>
          <w:b/>
        </w:rPr>
        <w:t>E. 38</w:t>
      </w:r>
    </w:p>
    <w:p>
      <w:r>
        <w:t>En tous points mal fondé, le recours sera rejeté.</w:t>
      </w:r>
    </w:p>
    <w:p>
      <w:r>
        <w:rPr>
          <w:b/>
        </w:rPr>
        <w:t>E. 39</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versée à la suite du dépôt du recours. Vu l’issue du litige, aucune indemnité de procédure ne sera allouée (art. 87 al. 2 LPA).</w:t>
      </w:r>
    </w:p>
    <w:p>
      <w:r>
        <w:t>- 18/18 - A/133/2024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