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JTAPI/846/2025 vom 26. November 2024</w:t>
      </w:r>
    </w:p>
    <w:p>
      <w:r>
        <w:t>GE Cour de justice, 2024-11-26, FR</w:t>
      </w:r>
    </w:p>
    <w:p>
      <w:r>
        <w:rPr>
          <w:b/>
        </w:rPr>
        <w:t xml:space="preserve">Quelle: </w:t>
      </w:r>
      <w:r>
        <w:t>https://mcp.opencaselaw.ch/entscheid/ge_gerichte_JTAPI_846_2025</w:t>
      </w:r>
    </w:p>
    <w:p>
      <w:r>
        <w:t>FR: GE_GERICHTE JTAPI/846/2025 du 26 novembre 2024</w:t>
      </w:r>
    </w:p>
    <w:p>
      <w:r>
        <w:t>IT: GE_GERICHTE JTAPI/846/2025 del 26 novembre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ATA/902/2015 du 1er septembre 2015</w:t>
      </w:r>
    </w:p>
    <w:p>
      <w:r>
        <w:t>- 5/8 - A/4218/2024 consid. 3b). La contestation ne peut excéder l’objet de la décision attaquée, c’est-à- dire les prétentions ou les rapports juridiques sur lesquels l’autorité inférieure s’est prononcée ou aurait dû se prononcer (ATA/1145/2015 du 27 octobre 2015 consid. 4b et les arrêts cités).</w:t>
      </w:r>
    </w:p>
    <w:p>
      <w:r>
        <w:rPr>
          <w:b/>
        </w:rPr>
        <w:t>E. 5</w:t>
      </w:r>
    </w:p>
    <w:p>
      <w:r>
        <w:t>En l’espèce, le recourant conclut uniquement à pouvoir bénéficier d’une autorisation de conduire un véhicule selon un horaire prédéfini, afin de lui permettre de continuer à exercer son activité professionnelle.</w:t>
      </w:r>
    </w:p>
    <w:p>
      <w:r>
        <w:rPr>
          <w:b/>
        </w:rPr>
        <w:t>E. 6</w:t>
      </w:r>
    </w:p>
    <w:p>
      <w:r>
        <w:t>Lorsque la procédure prévue par la loi fédérale sur les amendes d’ordre du 24 juin 1970 (LAO - RS 741.03) n’est pas applicable, une infraction aux prescriptions sur la circulation routière entraîne le retrait du permis de conduire ou un avertissement (art. 16 al. 2 LCR).</w:t>
      </w:r>
    </w:p>
    <w:p>
      <w:r>
        <w:rPr>
          <w:b/>
        </w:rPr>
        <w:t>E. 7</w:t>
      </w:r>
    </w:p>
    <w:p>
      <w:r>
        <w:t>Pour déterminer la durée et s’il y a lieu de prononcer un retrait d’admonestation, la LCR distingue les infractions légères, moyennement graves et graves (art. 16a à 16c LCR).</w:t>
      </w:r>
    </w:p>
    <w:p>
      <w:r>
        <w:rPr>
          <w:b/>
        </w:rPr>
        <w:t>E. 8</w:t>
      </w:r>
    </w:p>
    <w:p>
      <w:r>
        <w:t>Commet notamment une infraction grave la personne qui conduit un véhicule automobile en état d’ébriété et présente un taux d’alcool qualifié dans l’haleine ou dans le sang (art. 16c al. 1 let. b LCR ; art. 91 al. 2 let. a LCR).</w:t>
      </w:r>
    </w:p>
    <w:p>
      <w:r>
        <w:rPr>
          <w:b/>
        </w:rPr>
        <w:t>E. 9</w:t>
      </w:r>
    </w:p>
    <w:p>
      <w:r>
        <w:t>Est considéré comme qualifié un taux d’alcool dans l’haleine de 0,4 milligramme ou plus par litre d’air expiré (art. 2 let. b de l’ordonnance de l’Assemblée fédérale du 15 juin 2012 concernant les taux limites d’alcool admis en matière de circulation routière - RS 741.13 ; Yvan JEANNERET/André KUHN/Cédric MIZEL/Olivier RISKE, Code suisse de la circulation routière commenté, 5e éd. 2024, n. 2.2 art. 91 LCR).</w:t>
      </w:r>
    </w:p>
    <w:p>
      <w:r>
        <w:rPr>
          <w:b/>
        </w:rPr>
        <w:t>E. 10</w:t>
      </w:r>
    </w:p>
    <w:p>
      <w:r>
        <w:t>L’art. 16c al. 2 LCR prévoit qu’après une infraction grave, le permis d’élève conducteur ou le permis de conduire est retiré, au terme de la lettre c, pour douze mois au minimum si, au cours des cinq années précédentes, le permis a été retiré une fois en raison d’une infraction grave ou à deux reprises en raison d’infractions moyennement graves.</w:t>
      </w:r>
    </w:p>
    <w:p>
      <w:r>
        <w:rPr>
          <w:b/>
        </w:rPr>
        <w:t>E. 11</w:t>
      </w:r>
    </w:p>
    <w:p>
      <w:r>
        <w:t>Selon une jurisprudence constante en matière de circulation routière, les délais de récidive (ou délais d'épreuve ; Message du Conseil fédéral du 31 mars 1999 concernant la modification de la LCR, FF 1999 IV 4106, spé. consid. 4135) prévus par les art. 16a à c LCR commencent à courir à la fin de l'exécution d'un précédent retrait de permis (ATF 136 II 447 consid. 5.3 ; arrêts du Tribunal fédéral 1C_520/2013 du 17 septembre 2013 consid. 2 et 3 ; 1C_452/2011 du 21 août 2012 consid. 3.8 ; 1C_180/2010 du 22 septembre 2010 consid. 2 ; Cédric MIZEL, Droit et pratique illustrée du retrait du permis de conduire, 2015, n. 79.3 p. 600 s. ; Yvan JEANNERET/André KUHN/Cédric MIZEL/Olivier RISKE, op. cit., n. 4.3 ad intro art. 16 ss LCR).</w:t>
      </w:r>
    </w:p>
    <w:p>
      <w:r>
        <w:rPr>
          <w:b/>
        </w:rPr>
        <w:t>E. 12</w:t>
      </w:r>
    </w:p>
    <w:p>
      <w:r>
        <w:t>Selon l’art. 16 al. 3 LCR, les circonstances doivent être prises en considération pour fixer la durée du retrait du permis de conduire, notamment l’atteinte à la sécurité routière, la gravité de la faute, les antécédents en tant que conducteur, ainsi que la</w:t>
      </w:r>
    </w:p>
    <w:p>
      <w:r>
        <w:t>- 6/8 - A/4218/2024 nécessité professionnelle de conduire un véhicule automobile ; la durée minimale du retrait ne peut toutefois être réduite. Cette dernière règle, qui rend incompressibles les durées minimales de retrait des permis, s’impose à l’autorité et aux tribunaux sans dérogation possible, même pour tenir compte des besoins professionnels – ou autres – particuliers du conducteur ; le législateur a en effet entendu exclure expressément la possibilité ouverte par la jurisprudence sous l’ancien droit de réduire la durée minimale du retrait en présence de circonstances particulières, notamment en faveur de conducteurs professionnels (ATF 135 II 334 consid. 2.2 ; 132 II 234 consid. 2.3 ; arrêts du Tribunal fédéral 1C_414/2019 du 28 août 2019 consid. 2 ; 1C_535/2017 du 16 octobre 2017 consid. 3 ; 1C_102/2016 du 20 décembre 2016 consid. 2.5).</w:t>
      </w:r>
    </w:p>
    <w:p>
      <w:r>
        <w:rPr>
          <w:b/>
        </w:rPr>
        <w:t>E. 13</w:t>
      </w:r>
    </w:p>
    <w:p>
      <w:r>
        <w:t>Depuis le 1er avril 2023, selon l’art. 33 al . 5 OAC, l’autorité cantonale peut délivrer aux titulaires du permis de conduire une autorisation leur permettant d’effectuer pendant la période de retrait du permis les trajets nécessaires à l’exercice de leur profession. Elle définit les modalités des trajets autorisés dans sa décision. Cette autorisation est accordée pour autant que les conditions suivantes soient réunies: a. le permis a été retiré à la suite d’une infraction légère au sens de l’art. 16a LCR ; b. il n’a pas été retiré pour une durée indéterminée ou de manière définitive ; c. il n’a pas été retiré plus d’une fois au cours des cinq années précédentes.</w:t>
      </w:r>
    </w:p>
    <w:p>
      <w:r>
        <w:rPr>
          <w:b/>
        </w:rPr>
        <w:t>E. 14</w:t>
      </w:r>
    </w:p>
    <w:p>
      <w:r>
        <w:t>En l’espèce, le recourant ne conteste pas son taux d’alcoolémie de 0.72 mg/l dans l’air expiré, ni le fait que l’infraction qui lui est reprochée est constitutive d’une faute grave au sens de l’art. 16c al. 1 let. b LCR. Il a par ailleurs été définitivement reconnu coupable, par la juridiction pénale, de violation grave des règles de la circulation routière et de conduite en état d’ébriété avec un taux d’alcool qualifié. Il ressort du dossier qu’il a fait l’objet, au cours des cinq années précédentes, d’un retrait de permis de conduire le 24 novembre 2022 pour une durée d’un mois suite à une infraction légère, dont l’exécution s’est terminée peu de temps avant l’infraction du 3 mars 2023 et, surtout, de deux retraits pour des infractions moyennement graves. Suite au suivi d’un cours de BPA, l’autorité intimée a modifié la durée du retrait de permis et l’a réduite au minimum légal incompressible de l’art. 16c al. 2 let. c LCR : dès lors, les besoins professionnels et personnels invoqués par le recourant ne peuvent, dans ces conditions, pas être pris en compte. Le retrait du permis de conduire du recourant prononcé par l’OCV pour infraction grave, d’une durée réduite à douze mois, est ainsi justifié. Le recourant conclut à ce que sa sanction soit aménagée, afin de pouvoir bénéficier d’une autorisation de faire usage de son permis de conduire pour ses trajets professionnels au sens de l’art. 33 al. 5 OAC. Le tribunal ne saurait donner suite à cette requête. En effet, le recourant ayant commis une faute grave et ayant fait</w:t>
      </w:r>
    </w:p>
    <w:p>
      <w:r>
        <w:t>- 7/8 - A/4218/2024 l’objet de retraits de permis au cours des cinq années précédentes, les conditions cumulatives de l’art. 33 al. 5 OAC ne sont pas remplies.</w:t>
      </w:r>
    </w:p>
    <w:p>
      <w:r>
        <w:rPr>
          <w:b/>
        </w:rPr>
        <w:t>E. 15</w:t>
      </w:r>
    </w:p>
    <w:p>
      <w:r>
        <w:t>Au vu de ce qui précède, le recours sera rejeté.</w:t>
      </w:r>
    </w:p>
    <w:p>
      <w:r>
        <w:rPr>
          <w:b/>
        </w:rPr>
        <w:t>E. 16</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t>- 8/8 - A/4218/2024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