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JTAPI/839/2021 vom 26. August 2021</w:t>
      </w:r>
    </w:p>
    <w:p>
      <w:r>
        <w:t>GE Cour de justice, 2021-08-26, FR</w:t>
      </w:r>
    </w:p>
    <w:p>
      <w:r>
        <w:rPr>
          <w:b/>
        </w:rPr>
        <w:t xml:space="preserve">Quelle: </w:t>
      </w:r>
      <w:r>
        <w:t>https://mcp.opencaselaw.ch/entscheid/ge_gerichte_JTAPI_839_2021</w:t>
      </w:r>
    </w:p>
    <w:p>
      <w:r>
        <w:t>FR: GE_GERICHTE JTAPI/839/2021 du 26 août 2021</w:t>
      </w:r>
    </w:p>
    <w:p>
      <w:r>
        <w:t>IT: GE_GERICHTE JTAPI/839/2021 del 26 agosto 2021</w:t>
      </w:r>
    </w:p>
    <w:p>
      <w:pPr>
        <w:pStyle w:val="Heading2"/>
      </w:pPr>
      <w:r>
        <w:t>Erwägungen</w:t>
      </w:r>
    </w:p>
    <w:p>
      <w:r>
        <w:rPr>
          <w:b/>
        </w:rPr>
        <w:t>E. 10</w:t>
      </w:r>
    </w:p>
    <w:p>
      <w:r>
        <w:t>Le recourant a répliqué le 14 mai 2021, sous la plume de son conseil. Il s'était soumis à un examen sanguin le 21 avril 2021. Il ressortait notamment du rapport y relatif, sous la rubrique « produit d'addiction », qu'il présentait un taux de CDT de 1.51 %, soit largement inférieur à la norme de 2.50 %. Cette analyse corroborait pleinement ses explications selon lesquelles les faits du 7 novembre 2017 avaient été tout à fait isolés et sa consommation d'alcool était très occasionnelle.</w:t>
      </w:r>
    </w:p>
    <w:p>
      <w:r>
        <w:t>- 4/9 - A/106/2021 Il persistait donc dans les termes et conclusions de son recours.</w:t>
      </w:r>
    </w:p>
    <w:p>
      <w:r>
        <w:rPr>
          <w:b/>
        </w:rPr>
        <w:t>E. 11</w:t>
      </w:r>
    </w:p>
    <w:p>
      <w:r>
        <w:t>Par courrier du 27 mai 2021, l'OCV a indiqué qu'il n'avait pas d'observations supplémentaires à formuler. EN DROIT 1. 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 2. Interjeté en temps utile, c’est-à-dire dans le délai de dix jours, s’agissant d’une décision incidente (art. 4 al. 2 de la loi sur la procédure administrative du</w:t>
      </w:r>
    </w:p>
    <w:p>
      <w:r>
        <w:rPr>
          <w:b/>
        </w:rPr>
        <w:t>E. 12</w:t>
      </w:r>
    </w:p>
    <w:p>
      <w:r>
        <w:t>L'existence d'une dépendance à l'alcool est admise si la personne concernée consomme régulièrement des quantités exagérées d'alcool, de nature à diminuer sa capacité à conduire des véhicules, et se révèle incapable de se libérer ou de</w:t>
      </w:r>
    </w:p>
    <w:p>
      <w:r>
        <w:t>- 7/9 - A/106/2021 contrôler cette habitude par sa propre volonté. La dépendance doit être telle que l'intéressé présente plus que tout autre conducteur le risque de se mettre au volant dans un état ne lui permettant plus d'assurer la sécurité de la circulation. La notion de « dépendance » au sens des art. 14 al. 2 let. c et 16d al. 1 let. b LCR ne se confond donc pas avec la notion médicale de dépendance à l'alcool. La notion juridique permet déjà d'écarter du trafic les personnes qui, par une consommation abusive d'alcool, se mettent concrètement en danger de devenir dépendantes au sens médical (ATF 129 II 82 consid. 4.1 ; 127 II 122 consid. 3c et les références ; arrêts du Tribunal fédéral 1C_128/2020 du 29 septembre 2020 consid. 2.1 ; 1C_320/2017 du 9 janvier 2018 consid. 2.2 ; 1C_106/2016 du 9 juin 2016 consid. 4.1). Le fait de ne pas pouvoir dissocier l'alcool et la conduite est aussi propre à entraîner une inaptitude à conduire des véhicules automobiles, même en l'absence d'une dépendance à l'alcool, justifiant le retrait du permis de conduire en application de l'art. 16d al. 1 let. a LCR (cf. arrêt du Tribunal fédéral 1C_584/2019 du 18 novembre 2019 consid. 2). S'agissant de l'expertise de la médecine du trafic, la jurisprudence a précisé les exigences que celle-ci doit respecter pour constituer une base de décision suffisante en matière de retrait de sécurité.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129 II 82 consid. 6.2.1 et 6.2.2 ; arrêts du Tribunal fédéral 1C_250/2016 du 2 septembre 2016 consid. 3.1 ; 1C_106/2016 du 9 juin 2016 consid. 3.1.3 ; 1C_173/2009 du 27 mai 2009 consid. 3.1 ; 1C_243/2007 du 6 novembre 2007 consid. 2.2).</w:t>
      </w:r>
    </w:p>
    <w:p>
      <w:r>
        <w:rPr>
          <w:b/>
        </w:rPr>
        <w:t>E. 13</w:t>
      </w:r>
    </w:p>
    <w:p>
      <w:r>
        <w:t>En l'espèce, on regrettera tout d'abord l'écoulement du temps survenu entre l'évènement ayant donné lieu à la décision attaquée et le prononcé de celle-ci. Plus de trois années se sont en effet écoulées entre ces deux moments, ce qui entache passablement la crédibilité, la justification et le caractère compréhensible de la mesure décidée à l'encontre du recourant, étant souligné que lorsqu'il s'agit d'un retrait de sécurité, il n'est pas critiquable de ne pas attendre l'issue de la procédure pénale et de statuer sans délai (arrêts du Tribunal fédéral 1C_191/2016 du 5 juillet 2016 consid. 5). Cela étant, il n'en demeure pas moins qu'il n'appartient ni au recourant, ni au tribunal, à ce stade, de se déterminer sur la question de l'aptitude à la conduite de celui-là, à laquelle l'expertise souhaitée par l'OCV, qui envisage bien l'éventualité d'un retrait de sécurité et, dans cette perspective, a ouvert une procédure, doit répondre. La prise en considération de tous les éléments plaidant pour ou contre</w:t>
      </w:r>
    </w:p>
    <w:p>
      <w:r>
        <w:t>- 8/9 - A/106/2021 cette aptitude aura en effet lieu à l'issue de cette procédure. La seule question qui se pose à ce stade revient en effet à savoir s'il existe ou non des doutes quant à cette aptitude, susceptible de justifier la mise en œuvre d'une telle expertise. Or, il n'est pas contesté que le recourant a conduit un véhicule avec un taux d'alcool dans le sang situé entre 1,99 et 2,76 g ‰, ce qui fonde en soi un soupçon préalable que son aptitude à la conduite pourrait être réduite (cf. not. arrêt du Tribunal fédéral 1C_531/2016 du 22 février 2017 consid. 2.1.1 ; ATA/1138/2017 du 2 août 2017 consid. 5d et la référence), de sorte qu'il doit se soumettre à une enquête, comme l'exige l’art. 15d al. 1 let. a LCR. L'OCV n'avait pas de marge de manœuvre à cet égard et les résultats d'analyse du 22 avril 2021 que le recourants a produits, qui, à eux seuls, ne sont pas significatifs, n'apparaissent en aucune mesure suffisants, au vu de la jurisprudence précitée, pour lever de tels doutes. La mesure querellée ne prête donc pas le flanc à la critique.</w:t>
      </w:r>
    </w:p>
    <w:p>
      <w:r>
        <w:rPr>
          <w:b/>
        </w:rPr>
        <w:t>E. 14</w:t>
      </w:r>
    </w:p>
    <w:p>
      <w:r>
        <w:t>Compte tenu de ce qui précède, le recours, mal fondé, sera rejeté.</w:t>
      </w:r>
    </w:p>
    <w:p>
      <w:r>
        <w:rPr>
          <w:b/>
        </w:rPr>
        <w:t>E. 15</w:t>
      </w:r>
    </w:p>
    <w:p>
      <w:r>
        <w:t>Un émolument de CHF 500.- sera mis à la charge du recourant, qui succombe (art. 87 al. 1 LPA et du règlement sur les frais, émoluments et indemnités en procédure administrative du 30 juillet 1986 - RFPA - E 5 10.03). Vu l'issue du litige, le recourant n’a pas droit à une indemnité de procédure (art. 87 al. 2 LPA a contrario).</w:t>
      </w:r>
    </w:p>
    <w:p>
      <w:r>
        <w:t>- 9/9 - A/106/2021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