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JTAPI/837/2021 vom 26. August 2021</w:t>
      </w:r>
    </w:p>
    <w:p>
      <w:r>
        <w:t>GE Cour de justice, 2021-08-26, FR</w:t>
      </w:r>
    </w:p>
    <w:p>
      <w:r>
        <w:rPr>
          <w:b/>
        </w:rPr>
        <w:t xml:space="preserve">Quelle: </w:t>
      </w:r>
      <w:r>
        <w:t>https://mcp.opencaselaw.ch/entscheid/ge_gerichte_JTAPI_837_2021</w:t>
      </w:r>
    </w:p>
    <w:p>
      <w:r>
        <w:t>FR: GE_GERICHTE JTAPI/837/2021 du 26 août 2021</w:t>
      </w:r>
    </w:p>
    <w:p>
      <w:r>
        <w:t>IT: GE_GERICHTE JTAPI/837/2021 del 26 agosto 2021</w:t>
      </w:r>
    </w:p>
    <w:p>
      <w:pPr>
        <w:pStyle w:val="Heading2"/>
      </w:pPr>
      <w:r>
        <w:t>Erwägungen</w:t>
      </w:r>
    </w:p>
    <w:p>
      <w:r>
        <w:rPr>
          <w:b/>
        </w:rPr>
        <w:t>E. 1</w:t>
      </w:r>
    </w:p>
    <w:p>
      <w:r>
        <w:t>Le tribunal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(art. 57, 60 et 62 à 65 LPA).</w:t>
      </w:r>
    </w:p>
    <w:p>
      <w:r>
        <w:rPr>
          <w:b/>
        </w:rPr>
        <w:t>E. 3</w:t>
      </w:r>
    </w:p>
    <w:p>
      <w:r>
        <w:t>Les arguments formulés par les parties à l'appui de leurs conclusions respectives ainsi que le contenu des pièces versées aux dossiers seront repris et discutés dans la mesure utile (cf. arrêts du Tribunal fédéral 1C_72/2017 du 14 septembre 2017 consid. 4.1 ; 1D_2/2017 du 22 mars 2017 consid. 5.1 ; 1C_304/2016 du 5 décembre 2016 consid. 3.1 ; 1C_592/2015 du 27 juillet 2016 consid. 4.1 ;</w:t>
      </w:r>
    </w:p>
    <w:p>
      <w:r>
        <w:t>- 8/17 - A/2857/2020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5</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 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ou de subventions (cf. ATA/155/2021 du 9 février 2021 consid. 6b ; ATA/1311/2020 du 15 décembre 2020 consid. 7c ; ATA/1274/2017 du 12 septembre 2017 consid. 6 et la jurisprudence citée).</w:t>
      </w:r>
    </w:p>
    <w:p>
      <w:r>
        <w:t>- 9/17 - A/2857/2020</w:t>
      </w:r>
    </w:p>
    <w:p>
      <w:r>
        <w:rPr>
          <w:b/>
        </w:rPr>
        <w:t>E. 6</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 ce n'est ni le genre, ni le nombre des preuves qui est déterminant, mais leur force de persuasion (ATA/978/2019 du 4 juin 2019 consid. 4b et les arrêts cités).</w:t>
      </w:r>
    </w:p>
    <w:p>
      <w:r>
        <w:rPr>
          <w:b/>
        </w:rPr>
        <w:t>E. 7</w:t>
      </w:r>
    </w:p>
    <w:p>
      <w:r>
        <w:t>Dans un grief d'ordre formel, qu'il convient d'examiner en premier lieu (cf. ATF 132 V 387 consid. 5.1), la recourante se plaint du manque de motivation de la décision litigieuse.</w:t>
      </w:r>
    </w:p>
    <w:p>
      <w:r>
        <w:rPr>
          <w:b/>
        </w:rPr>
        <w:t>E. 8</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Il n'y a ainsi violation du droit d'être entendu que si l'autorité ne satisfait pas à son devoir minimum d'examiner les problèmes pertinents (ATF 134 I 83 consid. 4.1 ; 133 III 439 consid. 3.3 ; 130 II 530 consid. 4.3 et les arrêts cités ; arrêt du Tribunal fédéral 2C_56/2015 du</w:t>
      </w:r>
    </w:p>
    <w:p>
      <w:r>
        <w:rPr>
          <w:b/>
        </w:rPr>
        <w:t>E. 13</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(cf. ATA/1094/2019 du 25 juin 2019 consid. 5b et les arrêts cités).</w:t>
      </w:r>
    </w:p>
    <w:p>
      <w:r>
        <w:rPr>
          <w:b/>
        </w:rPr>
        <w:t>E. 14</w:t>
      </w:r>
    </w:p>
    <w:p>
      <w:r>
        <w:t>En raison de sa formulation potestative, l'art. 18 LEI ne confère aucun droit à M. D______ (cf. arrêts du Tribunal fédéral 2C_819/2C_798/2018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en tant qu'employeur, la recourante ne dispose d'aucun droit à engager ce dernier en vue de l'exercice d'une activité lucrative en Suisse (cf. not. arrêt du Tribunal fédéral 2D_57/2015 du 21 septembre 2015 consid. 3 ; arrêt du Tribunal administratif fédéral C-5184/2014 du 31 mars 2016 consid. 3 ; ATA/1094/2019 du 25 juin 2019 consid. 5b).</w:t>
      </w:r>
    </w:p>
    <w:p>
      <w:r>
        <w:rPr>
          <w:b/>
        </w:rPr>
        <w:t>E. 15</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ATA/187/2018 du 27 février 2018 consid. 4a ; ATA/1018/2017 du 27 juin 2017 consid. 4c). L'art. 3 al. 1 LEI concrétise le terme</w:t>
      </w:r>
    </w:p>
    <w:p>
      <w:r>
        <w:t>- 12/17 - A/2857/2020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Peter UEBERSAX in Minh Son NGUYEN/Cesla AMARELLE [éd.], Code annoté de droit des migrations, vol. 2 : LEtr, 2017, p. 145 s. et les références citées).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F- 5074/2018 du 25 juin 2020 consid. 5.3 ; F-4226/207 du 8 octobre 2019 consid. 4.5.1 ; C-857/2013 du 19 mai 2014 consid. 8.3 ; C-3518/2011 du 16 mai 2013 consid. 5.1 ; C-2485/2011 du 11 avril 2013 consid. 6 ; C-6135/2008 du 11 août 2008 consid. 8.2 ; ATA/1280/2015 du 1er décembre 2015 consid. 12 ; ATA/940/2015 du 15 septembre 2015 consid. 7c ; directives LEI, ch. 4.3.1).</w:t>
      </w:r>
    </w:p>
    <w:p>
      <w:r>
        <w:rPr>
          <w:b/>
        </w:rPr>
        <w:t>E. 16</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C- 6198/2014 du 18 mai 2015 consid. 6.1 ; C-857/2013 consid. 5).</w:t>
      </w:r>
    </w:p>
    <w:p>
      <w:r>
        <w:t>- 13/17 - A/2857/2020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 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(ATA/1094/2019 du 25 juin 2019 consid. 5c ; arrêts du Tribunal administratif fédéral F-3286/2017 du 18 décembre 2017 consid. 6.2 ; F-1992/2015 du 10 mars 2017 consid. 5.5C-106/2013 du 23 juillet 2014 consid. 7.1 ; C-1123/2013 du 13 mars 2014 consid. 6.7 ; C-4873/2011 du 13 août 2013 consid. 5.3).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ATA/1156/2020 du 17 novembre 2020 consid. 6c ; ATA/1094/2019 du 25 juin 2019 consid. 5c ;</w:t>
      </w:r>
    </w:p>
    <w:p>
      <w:r>
        <w:t>- 14/17 - A/2857/2020 ATA/1368/2018 du 18 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w:t>
      </w:r>
    </w:p>
    <w:p>
      <w:r>
        <w:rPr>
          <w:b/>
        </w:rPr>
        <w:t>E. 17</w:t>
      </w:r>
    </w:p>
    <w:p>
      <w:r>
        <w:t>En l’espèce, l'analyse à laquelle a procédé l'OCIRT, qui dispose en la matière d'un large pouvoir d'appréciation, n'apparaît pas inappropriée. Il n'est en tout cas pas fondé sur des éléments dépourvus de pertinence, négligeant des facteurs décisifs ou guidée par une appréciation insoutenable des circonstances, que ce soit dans son approche ou dans son résultat. Au vu des circonstances, on ne peut admettre qu'il a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 Ni les compétences professionnelles de M. D______, ni les avantages qu’il procurerait à la recourante, ni encore la place que cette dernière occupe dans le paysage économique genevois, suisse, voire au-delà, compte tenu notamment de son domaine d'activité, ne sont remises en cause. Cela étant, sous l’angle du respect du principe de la priorité, force est effectivement de constater que la recourante n'a de loin pas déployé tous les efforts que l'on pouvait raisonnablement attendre d'elle pour trouver un travailleur indigène ou ressortissant de l'UE/AELE afin de pourvoir le poste considéré, malgré les spécificités de celui-ci. Au contraire, ces dernières auraient à elles seules dû la conduire à entreprendre des démarches bien plus étendues. Elle a certes annoncé la vacance du poste à l’OCE, laquelle était visible dans la base de données de celui-ci dès le 8 mai 2020. Sans même attendre les résultats de cette publication ou entreprendre d’autres démarches, elle a conclu un contrat de travail avec M. D______ le 12 mai 2020 déjà, fixant son entrée en service « dès l’obtention de permis ». Ce n’est que les 30 mai et 5 juin suivants qu’elle a publié une annonce sur les sites « anibis.ch » et « petitesannonces.ch », peu avant de solliciter la délivrance de l’autorisation litigieuse, le 25 juin 2020 seulement. Ce n’est aussi qu’après avoir pris connaissance de la décision querellée, refusant de faire droit à sa demande en raison, notamment, du non-respect de l’ordre de priorité, qu’elle a effectué de plus amples démarches, de surcroît de façon toujours très « timide ». Elle s'est ainsi bornée à adresser une annonce à l’OCE, qui a été</w:t>
      </w:r>
    </w:p>
    <w:p>
      <w:r>
        <w:t>- 15/17 - A/2857/2020 publiée sur la plateforme « Job-Room » le 1er octobre 2020, ainsi qu’une annonce à la « Tribune de Genève » et à « 24 heures », publiée le 6 octobre 2020. Elle n’a ainsi manifestement pas entrepris des démarches en temps opportun. La chronologie des faits montre clairement que les deux annonces publiées sur les sites « anibis.ch » et « petitesannonces.ch », postérieurement à la conclusion du contrat, l'ont été avant tout pour s’acquitter d’une obligation légale, alors que qu'elle souhaitait assez clairement, et dès le départ, engager M. D______ et lui seul. De plus, les démarches qu'elle a déployées - sur des sites internet on ne peut plus généralistes - sont en tout état de cause clairement insuffisantes. Peu importe à cet égard qu’elle ait renouvelé ses annonces à six reprises. Il apparaît également que le processus de recrutement a été plutôt bref. Après les premières démarches effectuées en mai et juin 2020, la recourante n’en a entreprises aucune autre avant octobre 2020 et elle ne semble pas les avoir poursuivies au-delà : le 15 octobre 2020, elle s'est bornée à produire les dix curriculums vitae (de personnes n'ayant manifestement pas le profil recherché) qu'elle avait supposément reçus (à des dates non précisées) suite à ses annonces. Elle n’a pas démontré, ni même allégué avoir continué ses recherches ensuite. Compte tenu du profil spécifique recherché, elle était tenue de procéder à des recherches plus approfondies que celles qu'elle a effectuées. Elle ne pouvait ainsi se contenter d’annoncer la vacance du poste à l'OCE, même à deux reprises (ATA/1156/2020 du 17 novembre 2020 consid. 7), ni de publier quelques annonces dans la presse locale. Il lui appartenait au contraire de diffuser sa recherche à plus large échelle, en particulier sur des sites et dans une presse plus spécialisées, tant en Suisse que dans l'UE, d'éventuellement mandater une agence de placement à cette fin, de recourir aux réseaux sociaux ou encore de s’adresser à des organismes spécialisés (par exemple la Guilde internationale du tapis d'Orient, association basée à Pully [VD] ayant pour but de « rassembler les collectionneurs et amateurs de Tapis d'Orient ainsi que les importateurs et grossistes en tapis afin, notamment, de créer une bibliothèque spécialisée, publier une revue, organiser des échanges expositions et expertises ainsi que des voyages en Orient »), ce qu'elle n'a toutefois pas fait. Dans ces conditions, force est de retenir, avec l'autorité intimée, que la recourante n'est pas parvenue à démontrer avoir été réellement et concrètement dans l'impossibilité de trouver un travailleur correspondant aux exigences du poste sur le marché local ou européen, en particulier parce qu'elle avait, en vain, entrepris toutes les recherches utiles et nécessaires susceptibles d'être attendues d'elle, qui</w:t>
      </w:r>
    </w:p>
    <w:p>
      <w:r>
        <w:t>- 16/17 - A/2857/2020 permettraient de retenir que la condition de l'ordre de priorité de l'art. 21 al. 1 LEI serait remplie. L'une des conditions légales cumulatives applicables n'ayant pas été respectée, il n'est pas nécessaire d'examiner si les autres conditions de l'art. 18 LEI sont réalisées, en particulier, la question de savoir si l'admission de M. D______ servirait ou non les intérêts économiques du pays (let. a).</w:t>
      </w:r>
    </w:p>
    <w:p>
      <w:r>
        <w:rPr>
          <w:b/>
        </w:rPr>
        <w:t>E. 18</w:t>
      </w:r>
    </w:p>
    <w:p>
      <w:r>
        <w:t>Au vu de ce qui précède, il faut constater que la décision querellée ne viole pas le droit fédéral. Le recours, mal fondé, doit donc être rejeté.</w:t>
      </w:r>
    </w:p>
    <w:p>
      <w:r>
        <w:rPr>
          <w:b/>
        </w:rPr>
        <w:t>E. 19</w:t>
      </w:r>
    </w:p>
    <w:p>
      <w:r>
        <w:t>En application des art. 87 al. 1 LPA et 1 et 2 du règlement sur les frais, émoluments et indemnités en procédure administrative du 30 juillet 1986 (RFPA - E 5 10.03), un émolument de CHF 500.- sera mis à la charge de la recourante, qui succombe. Vu cette issue, aucune indemnité de procédure ne lui sera allouée (art. 87 al. 2 LPA a contrario).</w:t>
      </w:r>
    </w:p>
    <w:p>
      <w:r>
        <w:rPr>
          <w:b/>
        </w:rPr>
        <w:t>E. 20</w:t>
      </w:r>
    </w:p>
    <w:p>
      <w:r>
        <w:t>En vertu des art. 89 al. 2 et 111 al. 2 de la loi sur le Tribunal fédéral du 17 juin 2005 (LTF - RS 173.110), le présent jugement sera communiqué au SEM.</w:t>
      </w:r>
    </w:p>
    <w:p>
      <w:r>
        <w:t>- 17/17 - A/2857/2020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