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JTAPI/834/2025 vom 15. Dezember 2000</w:t>
      </w:r>
    </w:p>
    <w:p>
      <w:r>
        <w:t>GE Cour de justice, 2000-12-15, FR</w:t>
      </w:r>
    </w:p>
    <w:p>
      <w:r>
        <w:rPr>
          <w:b/>
        </w:rPr>
        <w:t xml:space="preserve">Quelle: </w:t>
      </w:r>
      <w:r>
        <w:t>https://mcp.opencaselaw.ch/entscheid/ge_gerichte_JTAPI_834_2025</w:t>
      </w:r>
    </w:p>
    <w:p>
      <w:r>
        <w:t>FR: GE_GERICHTE JTAPI/834/2025 du 15 décembre 2000</w:t>
      </w:r>
    </w:p>
    <w:p>
      <w:r>
        <w:t>IT: GE_GERICHTE JTAPI/834/2025 del 15 dicembre 2000</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28 juillet 2025, le tribunal a été valablement saisi, dans le délai légal précité, d'une requête de l'OCPM tendant à la prolongation de la détention administrative de M. A______ pour une durée de deux mois.</w:t>
      </w:r>
    </w:p>
    <w:p>
      <w:r>
        <w:t>- 9/12 - A/2610/2025</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w:t>
      </w:r>
    </w:p>
    <w:p>
      <w:r>
        <w:rPr>
          <w:b/>
        </w:rPr>
        <w:t>E. 6</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a été condamnée pour crime, par quoi il faut entendre une infraction passible d'une peine privative de liberté de plus de trois ans (let. h) (cf. art. 10 al. 2 CP ; ATA/220/2018 du 8 mars 2018 consid. 4a).</w:t>
      </w:r>
    </w:p>
    <w:p>
      <w:r>
        <w:rPr>
          <w:b/>
        </w:rPr>
        <w:t>E. 7</w:t>
      </w:r>
    </w:p>
    <w:p>
      <w:r>
        <w:t>L'autorité compétente peut également placer la personne concernée en détention administrative notamment si des éléments concrets font craindre qu'elle ne se soustraie au renvoi ou à l'expulsion, en particulier parce qu'elle ne se soumet pas à son obligation de collaborer (art. 76 al. 1 let.b ch. 3 LEI) et si son comportement permet de conclure qu'elle se refuse à obtempérer aux instructions des autorités compétentes (ch. 4).</w:t>
      </w:r>
    </w:p>
    <w:p>
      <w:r>
        <w:rPr>
          <w:b/>
        </w:rPr>
        <w:t>E. 8</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9</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- 10/12 - A/2610/2025</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11</w:t>
      </w:r>
    </w:p>
    <w:p>
      <w:r>
        <w:t>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 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ATA/92/2017du 3 février 2017 consid. 5b).</w:t>
      </w:r>
    </w:p>
    <w:p>
      <w:r>
        <w:rPr>
          <w:b/>
        </w:rPr>
        <w:t>E. 12</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13</w:t>
      </w:r>
    </w:p>
    <w:p>
      <w:r>
        <w:t>En l'espèce, les circonstances qui ont conduit le tribunal, dans ses jugements des 13 mai et 2 juillet 2025, puis la chambre administrative dans son arrêt du 24 juillet 2025 à retenir que les conditions de la détention de M. A______ étaient remplies quant à son principe sont toujours d’actualité. Faute d’éléments nouveaux et en l’absence d’un quelconque changement de circonstance pertinent depuis, il n’y a en particulier pas lieu de remettre en cause les constats effectués par la chambre</w:t>
      </w:r>
    </w:p>
    <w:p>
      <w:r>
        <w:t>- 11/12 - A/2610/2025 administrative que le précité est de nationalité éthiopienne, que son renvoi en Ethiopie ne contrevient pas à l’art. 83 al. 2 LEI et qu’il n’est pas impossible. Par conséquent, sur ces points, il sera renvoyé aux motifs de son arrêt.</w:t>
      </w:r>
    </w:p>
    <w:p>
      <w:r>
        <w:t>L'assurance du départ effectif de M. A______ répond toujours à un intérêt public certain et, vu son refus maintes fois répété de retourner en Ethiopie, aucune autre mesure moins incisive ne peut être envisagée pour garantir sa présence jusqu'à l'exécution de son refoulement. Enfin, son renvoi n'apparaît ni improbable ni impossible, au vu des dernières pièces versées au dossier. S’agissant de l’état de santé de M. A______, et en particulier de la grève de la faim qu’il a entamée, vraisemblablement en relation avec l’imminence de son renvoi, elle ne saurait, à ce stade, faire obstacle à son maintien en détention administrative. Pour rappel, l'objectif de cette dernière est de permettre l'exécution du renvoi ou de l'expulsion. Elle se fait dans un établissement qui satisfait aux exigences légales de l'art. 81 LEI en matière de respect des personnes détenues administrativement et qui bénéficie d'un service médical approprié, pourvoyant aux soins ambulatoires et d'urgence (cf. art. 18 al. 2 du Concordat sur l'exécution de la détention administrative à l'égard des étrangers du 4 juillet 1996 - CEDA - F 2 12), susceptible de lui porter assistance. Le représentant de l’OCPM a de plus indiqué, lors de l’audience, avoir été informé de la situation de l’intéressé par l’équipe médicale de Frambois, laquelle suivait la situation de près et, rien ne permet de douter que si l’état de santé de l’intéressé devait nécessiter un examen avant son renvoi, celui-ci serait effectué. La détention respecte par conséquent toujours le principe de proportionnalité, La durée de la prolongation de deux mois sollicitée par l'OCPM respecte enfin également ledit principe et apparait justifiée et adéquate en vue de la finalisation du renvoi de l’intéressé. Elle portera sa détention administrative à cinq mois au total, ce qui n'atteint de loin pas la durée totale de dix-huit mois que peut atteindre une détention administrative selon l'art. 79 al. 1 et 2 LEI.</w:t>
      </w:r>
    </w:p>
    <w:p>
      <w:r>
        <w:rPr>
          <w:b/>
        </w:rPr>
        <w:t>E. 14</w:t>
      </w:r>
    </w:p>
    <w:p>
      <w:r>
        <w:t>Au vu de ce qui précède, la demande de prolongation de la détention administrative de M. A______ sera admise pour une durée de deux mois soit jusqu'au 8 octobre 2025.</w:t>
      </w:r>
    </w:p>
    <w:p>
      <w:r>
        <w:rPr>
          <w:b/>
        </w:rPr>
        <w:t>E. 15</w:t>
      </w:r>
    </w:p>
    <w:p>
      <w:r>
        <w:t>Vu l’issue de la procédure, il ne sera pas alloué d’indemnité de procédure.</w:t>
      </w:r>
    </w:p>
    <w:p>
      <w:r>
        <w:rPr>
          <w:b/>
        </w:rPr>
        <w:t>E. 16</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- 12/12 - A/2610/2025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