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JTAPI/82/2025 vom 9. Januar 2025</w:t>
      </w:r>
    </w:p>
    <w:p>
      <w:r>
        <w:t>GE Cour de justice, 2025-01-09, FR</w:t>
      </w:r>
    </w:p>
    <w:p>
      <w:r>
        <w:rPr>
          <w:b/>
        </w:rPr>
        <w:t xml:space="preserve">Quelle: </w:t>
      </w:r>
      <w:r>
        <w:t>https://mcp.opencaselaw.ch/entscheid/ge_gerichte_JTAPI_82_2025</w:t>
      </w:r>
    </w:p>
    <w:p>
      <w:r>
        <w:t>FR: GE_GERICHTE JTAPI/82/2025 du 9 janvier 2025</w:t>
      </w:r>
    </w:p>
    <w:p>
      <w:r>
        <w:t>IT: GE_GERICHTE JTAPI/82/2025 del 9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20 janvier 2025 à 9h20.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L'infraction instituée par l'art. 19 al. 2 let. a LStup est un crime au sens de l'art. 10 al. 2 CP (cf. arrêt du Tribunal fédéral 6B_442/2012 du 11 mars 2013 consid. 3.2 ; ATA/795/2023 du 19 juillet 2023 consid. 3.7 ; ATA/882/2022 du 30 août 2022 consid. 3c). Il n'est pas nécessaire que le jugement pénal rendu en première instance soit définitif (ATA/769/2023 du 14 juillet 2023 consid. 3.2 ; ATA/451/2023 du 28 avril 2023 consid. 4.2 ; ATA/127/2015 du 3 février 2015 consid. 6).</w:t>
      </w:r>
    </w:p>
    <w:p>
      <w:r>
        <w:rPr>
          <w:b/>
        </w:rPr>
        <w:t>E. 5</w:t>
      </w:r>
    </w:p>
    <w:p>
      <w:r>
        <w:t>En l'espèce, M. A______ fait l'objet d'une mesure d'expulsion du territoire Suisse prononcée par le Tribunal de police de Genève le 9 janvier 2025 et valable pour une durée de cinq ans, mesure dont l'OCPM a décidé le non-report. Il a par ailleurs été reconnu coupable par cette même juridiction et dans le même jugement d'infraction contre l'art. 19 al. 2 let. a LStup, ce qui constitue un crime selon ce qui vient d'être rappelé.</w:t>
      </w:r>
    </w:p>
    <w:p>
      <w:r>
        <w:rPr>
          <w:b/>
        </w:rPr>
        <w:t>E. 6</w:t>
      </w:r>
    </w:p>
    <w:p>
      <w:r>
        <w:t>Par conséquent, sur le principe, la détention administrative de M. A______ respecte les conditions prévues par les dispositions légales susmentionnées.</w:t>
      </w:r>
    </w:p>
    <w:p>
      <w:r>
        <w:t>- 4/6 - A/167/2025 Il convient de préciser, suite à l'argumentation développée par M. A______ au sujet du fait qu'il ne présenterait soi-disant plus une menace à l'avenir pour la sécurité et la santé d'autres personnes, que cette question est sans incidence dans le cas d'espèce, nonobstant les longs développements auxquels procède à ce sujet la décision litigieuse. En effet, la détention administrative de M. A______ trouve de toute manière à se fonder sur l'art. 75 al. 1 let. h LEI, également cité par cette décision. A toutes fins utiles, il convient encore de préciser que la détention de M. A______ pourrait être confirmée par substitution de motifs en raison du crime pour lequel il a été condamné, s'il fallait considérer que la décision litigieuse n'était pas expressément fondée sur ce motif.</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M. A______ considère que sa détention n'est pas nécessaire sous l'angle du principe de proportionnalité, puisqu'il aurait la garantie, en demeurant en Suisse jusqu'à la date de son renvoi, de pouvoir retourner en Albanie, ce qui serait son objectif pour les raisons qu'il a expliquées à l'audience. Un tel raisonnement pourrait être examiné avec attention, pour autant qu'il faille accorder foi aux explications qu'il a données concernant précisément son intention de retourner dans son pays afin d'y retrouver son père malade et de chercher un emploi. Or, rien n'indique dans</w:t>
      </w:r>
    </w:p>
    <w:p>
      <w:r>
        <w:t>- 5/6 - A/167/2025 le dossier que l'on pourrait accorder crédit aux déclarations de M. A______, qui ne sont que de simples allégations. Il convient également de souligner que la difficulté de le croire sur sa simple parole est d'autant plus grande, que son comportement pénal en Suisse entame très sérieusement la confiance que l'on peut avoir en lui. Dans ces conditions, sa détention administrative apparaît comme le seul moyen véritablement adéquat pour assurer son renvoi vers l'Albanie. Quant à la durée de sa détention, elle n'est pas critiquée par M. A______ et apparaît quoi qu'il en soit comme parfaitement adaptée.</w:t>
      </w:r>
    </w:p>
    <w:p>
      <w:r>
        <w:rPr>
          <w:b/>
        </w:rPr>
        <w:t>E. 12</w:t>
      </w:r>
    </w:p>
    <w:p>
      <w:r>
        <w:t>Au vu de ce qui précède, il y a lieu de confirmer l'ordre de mise en détention administrative de M. A______ pour une durée de trois semaines.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A/167/2025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