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JTAPI/829/2025 vom 11. März 2025</w:t>
      </w:r>
    </w:p>
    <w:p>
      <w:r>
        <w:t>GE Cour de justice, 2025-03-11, FR</w:t>
      </w:r>
    </w:p>
    <w:p>
      <w:r>
        <w:rPr>
          <w:b/>
        </w:rPr>
        <w:t xml:space="preserve">Quelle: </w:t>
      </w:r>
      <w:r>
        <w:t>https://mcp.opencaselaw.ch/entscheid/ge_gerichte_JTAPI_829_2025</w:t>
      </w:r>
    </w:p>
    <w:p>
      <w:r>
        <w:t>FR: GE_GERICHTE JTAPI/829/2025 du 11 mars 2025</w:t>
      </w:r>
    </w:p>
    <w:p>
      <w:r>
        <w:t>IT: GE_GERICHTE JTAPI/829/2025 del 11 marzo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60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L’objet du litige est principalement défini par l’objet du recours (ou objet de la contestation), les conclusions du recourant et, accessoirement, par les griefs ou motifs qu’il invoque. L’objet du litige correspond</w:t>
      </w:r>
    </w:p>
    <w:p>
      <w:r>
        <w:t>- 4/6 - A/1160/2025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 dire les prétentions ou les rapports juridiques sur lesquels l’autorité inférieure s’est prononcée ou aurait dû se prononcer (ATA/1145/2015 du 27 octobre 2015 consid. 4b et les arrêts cités).</w:t>
      </w:r>
    </w:p>
    <w:p>
      <w:r>
        <w:rPr>
          <w:b/>
        </w:rPr>
        <w:t>E. 5</w:t>
      </w:r>
    </w:p>
    <w:p>
      <w:r>
        <w:t>En droit suisse, nul ne peut conduire un véhicule automobile sans être titulaire d'un permis de conduire ou, s'il effectue une course d'apprentissage, d'un permis d'élève conducteur (art. 10 al. 2 LCR).</w:t>
      </w:r>
    </w:p>
    <w:p>
      <w:r>
        <w:rPr>
          <w:b/>
        </w:rPr>
        <w:t>E. 6</w:t>
      </w:r>
    </w:p>
    <w:p>
      <w:r>
        <w:t>Conformément à l'art. 22 al. 1 LCR, les permis sont délivrés et retirés par l'autorité administrative. Cette compétence appartient au canton de domicile pour les permis de conduire. La compétence de régler l'utilisation des permis de conduire étrangers en Suisse a, pour le reste, été déléguée au Conseil fédéral (art. 25 al. 2 let. b LCR), la matière figurant aux art. 42 à 45 OAC.</w:t>
      </w:r>
    </w:p>
    <w:p>
      <w:r>
        <w:rPr>
          <w:b/>
        </w:rPr>
        <w:t>E. 7</w:t>
      </w:r>
    </w:p>
    <w:p>
      <w:r>
        <w:t>Les conducteurs de véhicules automobiles en provenance de l'étranger ne peuvent conduire des véhicules automobiles en Suisse que s'ils sont titulaires d'un permis de conduire national ou international valable (art. 42 al. 1 OAC). L'art. 42 al. 3bis let. a OAC dispose que les conducteurs de véhicules automobiles en provenance de l'étranger qui résident depuis plus de douze mois en Suisse sans avoir séjourné plus de trois mois consécutifs à l'étranger sont tenus d'obtenir un permis de conduire suisse. Selon la Circulaire du 1er octobre 2013 concernant les permis de conduire des personnes domiciliées à l'étranger de l'OFROU, la notion de résidence au sens de l'art. 42 al. 3bis let. a OAC a une acception plus large que celle de domicile: elle comprend tout logement plus ou moins permanent (p. ex. chambre louée et séjour régulier), même si l'intention de séjourner durablement n'existe pas (ch. 1). Ce faisant, l'OFROU a repris la notion de résidence figurant à l'art. 5k OAC (anciennement art. 5a OAC entré en vigueur le 1er avril 2003) qui, sous l'intitulé « Domicile suisse », dispose que les permis d'élève conducteur et les permis de conduire ne sont délivrés qu'aux personnes qui résident en Suisse, y séjournent ou qui désirent conduire à titre professionnel des véhicules automobiles immatriculés en Suisse (al. 1).</w:t>
      </w:r>
    </w:p>
    <w:p>
      <w:r>
        <w:t>Comme son texte l'indique, l'art. 42 al. 3bis let. a OAC a uniquement pour vocation de déterminer le moment à partir duquel un conducteur titulaire d'un permis de conduire étranger ne peut plus utiliser ce dernier en Suisse et s'avère de ce fait tenu, sous peine d'amende (cf. art. 147 ch. 1 OAC), d'obtenir un permis de conduire suisse.</w:t>
      </w:r>
    </w:p>
    <w:p>
      <w:r>
        <w:rPr>
          <w:b/>
        </w:rPr>
        <w:t>E. 8</w:t>
      </w:r>
    </w:p>
    <w:p>
      <w:r>
        <w:t>En l'espèce, il est admis que le recourant est arrivé en Suisse en 2010 et qu'il y est domicilié au bénéfice d'un permis C. Il est également admis qu'il a obtenu son permis de conduire au Kosovo en 2012. Or, conformément à l'art. 42 al. 3bis let. a</w:t>
      </w:r>
    </w:p>
    <w:p>
      <w:r>
        <w:t>- 5/6 - A/1160/2025 OAC, dès lors qu'il réside en Suisse depuis plus de douze mois, il est tenu d'obtenir un permis de conduire suisse. A défaut, et conformément à l'art. 42 al. 1 OAC, il ne peut conduire des véhicules automobiles en Suisse.</w:t>
      </w:r>
    </w:p>
    <w:p>
      <w:r>
        <w:t>Par conséquent, la décision querellée est conforme au droit et sera confirmée.</w:t>
      </w:r>
    </w:p>
    <w:p>
      <w:r>
        <w:rPr>
          <w:b/>
        </w:rPr>
        <w:t>E. 9</w:t>
      </w:r>
    </w:p>
    <w:p>
      <w:r>
        <w:t>Entièrement mal fondé, le recours sera rejeté et la décision confirmée.</w:t>
      </w:r>
    </w:p>
    <w:p>
      <w:r>
        <w:rPr>
          <w:b/>
        </w:rPr>
        <w:t>E. 10</w:t>
      </w:r>
    </w:p>
    <w:p>
      <w:r>
        <w:t>En application des art. 87 al. 1 LPA et 1 et 2 du règlement sur les frais, émoluments et indemnités en procédure administrative du 30 juillet 1986 (RFPA - E 5 10.03), le recourant, qui succombe, est condamnée au paiement d’un émolument s'élevant à CHF 500.- ; il est couvert par l’avance de frais versée à la suite du dépôt du recours. Vu l’issue du litige, aucune indemnité de procédure ne sera allouée (art. 87 al. 2 LPA).</w:t>
      </w:r>
    </w:p>
    <w:p>
      <w:r>
        <w:t>- 6/6 - A/1160/2025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