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JTAPI/828/2025 vom 4. August 2025</w:t>
      </w:r>
    </w:p>
    <w:p>
      <w:r>
        <w:t>GE Cour de justice, 2025-08-04, FR</w:t>
      </w:r>
    </w:p>
    <w:p>
      <w:r>
        <w:rPr>
          <w:b/>
        </w:rPr>
        <w:t xml:space="preserve">Quelle: </w:t>
      </w:r>
      <w:r>
        <w:t>https://mcp.opencaselaw.ch/entscheid/ge_gerichte_JTAPI_828_2025</w:t>
      </w:r>
    </w:p>
    <w:p>
      <w:r>
        <w:t>FR: GE_GERICHTE JTAPI/828/2025 du 4 août 2025</w:t>
      </w:r>
    </w:p>
    <w:p>
      <w:r>
        <w:t>IT: GE_GERICHTE JTAPI/828/2025 del 4 agosto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- 7/13 - A/1412/2025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Les arguments formulés par les parties à l’appui de leurs conclusions respectives et le contenu des pièces qu’elles ont produites seront repris et discutés dans la seule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6</w:t>
      </w:r>
    </w:p>
    <w:p>
      <w:r>
        <w:t>Le recourant estime remplir les conditions pour la délivrance d’une autorisation de séjour pour cas de rigueur.</w:t>
      </w:r>
    </w:p>
    <w:p>
      <w:r>
        <w:rPr>
          <w:b/>
        </w:rPr>
        <w:t>E. 7</w:t>
      </w:r>
    </w:p>
    <w:p>
      <w:r>
        <w:t>En l’occurrence, il convient d’emblée de rappeler que la décision querellée a pour seul objet le refus d’entrer en matière sur la demande de reconsidération formulée par le recourant le 24 février 2025. L’examen du tribunal ne portera donc que sur cette question.</w:t>
      </w:r>
    </w:p>
    <w:p>
      <w:r>
        <w:t>- 8/13 - A/1412/2025</w:t>
      </w:r>
    </w:p>
    <w:p>
      <w:r>
        <w:rPr>
          <w:b/>
        </w:rPr>
        <w:t>E. 7.2</w:t>
      </w:r>
    </w:p>
    <w:p>
      <w:r>
        <w:t>; 2C_883/2018 du 21 mars 2019 consid. 4.4 ; 2C_556/2018 du 14 novembre 2018 consid. 3 ; 2C_198/2018 du 25 juin 2018 consid. 3.3).</w:t>
      </w:r>
    </w:p>
    <w:p>
      <w:r>
        <w:rPr>
          <w:b/>
        </w:rPr>
        <w:t>E. 8</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(ATA/355/2011 du 31 mai 2011 consid. 4e et les références citées ; cf. également Thierry TANQUEREL, op. cit., n. 1414 ss pp. 476 ss).</w:t>
      </w:r>
    </w:p>
    <w:p>
      <w:r>
        <w:t>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ATA/539/2020du 29 mai 2020 consid. 5c ; Thierry TANQUEREL, op. cit., n. 1417 p. 477).</w:t>
      </w:r>
    </w:p>
    <w:p>
      <w:r>
        <w:rPr>
          <w:b/>
        </w:rPr>
        <w:t>E. 9</w:t>
      </w:r>
    </w:p>
    <w:p>
      <w:r>
        <w:t>Il n'existe en principe pas de droit non seulement à une nouvelle décision, mais déjà à ce que l'autorité saisie procède à un nouvel examen de la situation (ATA/355/2011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 de l'autorité qu'elle procède à un nouvel examen (ATA/539/2020du 29 mai 2020 consid. 5c ; ATA/830/2016 du 4 octobre 2016 consid. 2a).</w:t>
      </w:r>
    </w:p>
    <w:p>
      <w:r>
        <w:rPr>
          <w:b/>
        </w:rPr>
        <w:t>E. 10</w:t>
      </w:r>
    </w:p>
    <w:p>
      <w:r>
        <w:t>La jurisprudence a en effet déduit des garanties générales de procédure de l'art. 29 al. 1 Constitution fédérale de la Confédération suisse du 18 avril 1999 (Cst -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w:t>
      </w:r>
    </w:p>
    <w:p>
      <w:r>
        <w:t>Lorsque des motifs de cette nature sont établis, l'autorité est donc tenue d'entrer en matière (Pierre MOOR/Étienne POLTIER, Droit administratif, vol. II, 3ème éd., 2011, ch. 2.4.4.2 p. 399).</w:t>
      </w:r>
    </w:p>
    <w:p>
      <w:r>
        <w:t>- 9/13 - A/1412/2025</w:t>
      </w:r>
    </w:p>
    <w:p>
      <w:r>
        <w:rPr>
          <w:b/>
        </w:rPr>
        <w:t>E. 11</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t>En vertu de l’art. 48 al. 1 let. b LPA, dont l’application est seule envisageable en l’espèce,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w:t>
      </w:r>
    </w:p>
    <w:p>
      <w:r>
        <w:rPr>
          <w:b/>
        </w:rPr>
        <w:t>E. 13</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du 5 novembre 2019 consid. 3e ; ATA/1244/2019 13 août 2019 consid. 5b).</w:t>
      </w:r>
    </w:p>
    <w:p>
      <w:r>
        <w:t>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(ATA/539/2020 du 29 mai 2020 consid. 4b ; ATA/1818/2019 du 17 décembre 2019 consid. 2b). Le fait d'invoquer des faits nouveaux résultant pour l'essentiel de l'écoulement du temps, que le recourant a largement favorisé, peut d'ailleurs être reconnu comme un procédé dilatoire (cf. arrêt du Tribunal fédéral 2A.271/2004 du 7 octobre 2004).</w:t>
      </w:r>
    </w:p>
    <w:p>
      <w:r>
        <w:rPr>
          <w:b/>
        </w:rPr>
        <w:t>E. 14</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w:t>
      </w:r>
    </w:p>
    <w:p>
      <w:r>
        <w:t>- 11/13 - A/1412/2025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Cela implique qu'il produise d'emblée devant l'autorité qu'il saisit les moyens de preuve destinés à établir les faits qu'il allègue (ATA/291/2017 du 14 mars 2017 consid. 4).</w:t>
      </w:r>
    </w:p>
    <w:p>
      <w:r>
        <w:rPr>
          <w:b/>
        </w:rPr>
        <w:t>E. 15</w:t>
      </w:r>
    </w:p>
    <w:p>
      <w:r>
        <w:t>Les demandes en reconsidération n’entraînent ni interruption de délai ni effet suspensif (art. 48 al. 2 LPA).</w:t>
      </w:r>
    </w:p>
    <w:p>
      <w:r>
        <w:rPr>
          <w:b/>
        </w:rPr>
        <w:t>E. 16</w:t>
      </w:r>
    </w:p>
    <w:p>
      <w:r>
        <w:t>En l’espèce, le recourant fait valoir qu’au moment du dépôt de sa requête, il remplissait les conditions pour l’octroi d’une autorisation de séjour pour cas de rigueur et que c’était de manière contraire à ses intérêts qu’il n’avait pas recouru contre la décision de refus de l’OCPM du 27 février 2023. Deux ans s’étaient écoulés, ce qui avait pour conséquence qu’il se trouvait en Suisse depuis plus de dix ans maintenant et que son intégration s’était renforcée, devant être considérée comme excellente. Il remplissait donc les conditions de délivrance d’une autorisation de séjour pour cas de rigueur.</w:t>
      </w:r>
    </w:p>
    <w:p>
      <w:r>
        <w:t>Le tribunal relèvera que le recourant n’ayant pas recouru contre son refus d’autorisation de séjour rendu le 27 février 2023, cette décision est définitive et exécutoire.</w:t>
      </w:r>
    </w:p>
    <w:p>
      <w:r>
        <w:t>Force est de constater que les « éléments nouveaux » avancés par le recourant à l’appui de sa demande de reconsidération, à savoir le renforcement de son intégration et sa présence en Suisse depuis maintenant plus de dix ans découlent uniquement de l’écoulement du temps mis à profit par le recourant pour poursuivre son séjour en Suisse, alors qu'il fait l'objet d'une décision de renvoi, entrée en force, lui impartissant un délai au 27 avril 2023 pour quitter la Suisse. Il est donc resté en Suisse, depuis lors, illégalement.</w:t>
      </w:r>
    </w:p>
    <w:p>
      <w:r>
        <w:t>Or, comme retenu par la jurisprudence, 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ce qui est le cas en l’espèce.</w:t>
      </w:r>
    </w:p>
    <w:p>
      <w:r>
        <w:rPr>
          <w:b/>
        </w:rPr>
        <w:t>E. 17</w:t>
      </w:r>
    </w:p>
    <w:p>
      <w:r>
        <w:t>Au vu de ce qui précède, c’est donc à juste titre que l’OCPM a refusé d’entrer en matière sur le demande de reconsidération.</w:t>
      </w:r>
    </w:p>
    <w:p>
      <w:r>
        <w:rPr>
          <w:b/>
        </w:rPr>
        <w:t>E. 18</w:t>
      </w:r>
    </w:p>
    <w:p>
      <w:r>
        <w:t>Mal fondé, le recours sera rejeté.</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t>- 12/13 - A/1412/2025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- 13/13 - A/1412/2025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