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JTAPI/820/2024 vom 22. August 2024</w:t>
      </w:r>
    </w:p>
    <w:p>
      <w:r>
        <w:t>GE Cour de justice, 2024-08-22, FR</w:t>
      </w:r>
    </w:p>
    <w:p>
      <w:r>
        <w:rPr>
          <w:b/>
        </w:rPr>
        <w:t xml:space="preserve">Quelle: </w:t>
      </w:r>
      <w:r>
        <w:t>https://mcp.opencaselaw.ch/entscheid/ge_gerichte_JTAPI_820_2024</w:t>
      </w:r>
    </w:p>
    <w:p>
      <w:r>
        <w:t>FR: GE_GERICHTE JTAPI/820/2024 du 22 août 2024</w:t>
      </w:r>
    </w:p>
    <w:p>
      <w:r>
        <w:t>IT: GE_GERICHTE JTAPI/820/2024 del 22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w:t>
      </w:r>
    </w:p>
    <w:p>
      <w:r>
        <w:rPr>
          <w:b/>
        </w:rPr>
        <w:t>E. 3</w:t>
      </w:r>
    </w:p>
    <w:p>
      <w:r>
        <w:t>La recevabilité d’un recours suppose encore que son auteur dispose de la qualité pour recourir.</w:t>
      </w:r>
    </w:p>
    <w:p>
      <w:r>
        <w:rPr>
          <w:b/>
        </w:rPr>
        <w:t>E. 4</w:t>
      </w:r>
    </w:p>
    <w:p>
      <w:r>
        <w:t>La qualité pour recourir est notamment reconnue à toute personne atteinte par la décision attaquée et qui dispose d’un intérêt digne de protection à son annulation ou à sa modification (art. 60 al. 1 let. b LPA).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w:t>
      </w:r>
    </w:p>
    <w:p>
      <w:r>
        <w:t>En matière de droit des constructions, le voisin direct de la construction ou de l’installation litigieuse a en principe la qualité pour recourir (ATF 139 II 499 consid.</w:t>
      </w:r>
    </w:p>
    <w:p>
      <w:r>
        <w:rPr>
          <w:b/>
        </w:rPr>
        <w:t>E. 6</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w:t>
      </w:r>
    </w:p>
    <w:p>
      <w:r>
        <w:t>- 10/22 - A/4129/2023</w:t>
      </w:r>
    </w:p>
    <w:p>
      <w:r>
        <w:rPr>
          <w:b/>
        </w:rPr>
        <w:t>E. 7</w:t>
      </w:r>
    </w:p>
    <w:p>
      <w:r>
        <w:t>En l'occurrence, les recourants sont propriétaires de la parcelle directement voisine de celle sur laquelle le projet litigieux est prévu et se prévalent de dispositions de droit public des constructions susceptibles d’avoir une incidence concrète sur leur situation de fait. La qualité pour recourir doit dès lors leur être reconnue.</w:t>
      </w:r>
    </w:p>
    <w:p>
      <w:r>
        <w:rPr>
          <w:b/>
        </w:rPr>
        <w:t>E. 8</w:t>
      </w:r>
    </w:p>
    <w:p>
      <w:r>
        <w:t>Dans leur réplique, les recourants demandent au tribunal d’effectuer une tentative de conciliation.</w:t>
      </w:r>
    </w:p>
    <w:p>
      <w:r>
        <w:rPr>
          <w:b/>
        </w:rPr>
        <w:t>E. 9</w:t>
      </w:r>
    </w:p>
    <w:p>
      <w:r>
        <w:t>L’art. 65A LPA est une disposition potestative et l’autorité saisie n’est donc pas tenue de donner suite à une requête de conciliation présentée par l’une des parties (Stéphane GRODECKI, Romain JORDAN, Code annoté de procédure administrative genevoise, 2017, n. 817).</w:t>
      </w:r>
    </w:p>
    <w:p>
      <w:r>
        <w:rPr>
          <w:b/>
        </w:rPr>
        <w:t>E. 10</w:t>
      </w:r>
    </w:p>
    <w:p>
      <w:r>
        <w:t>En l’espèce, à teneur des prises de positions des deux parties, le tribunal considère qu’une tentative de conciliation serait, à ce stade, vaine et ne ferait que retarder l’issue de la procédure. Partant, la requête en conciliation des recourants sera rejetée.</w:t>
      </w:r>
    </w:p>
    <w:p>
      <w:r>
        <w:rPr>
          <w:b/>
        </w:rPr>
        <w:t>E. 11</w:t>
      </w:r>
    </w:p>
    <w:p>
      <w:r>
        <w:t>Dans un premier grief, les recourants font valoir une violation de leur droit d'être entendu du fait de l’absence de motivation des préavis de la CA et de la commune. Le département avait de même outrepassé son pouvoir d'appréciation en accordant l’autorisation querellée alors qu’il ne disposait d'aucune motivation des instances de préavis précitées. Ils sollicitent la tenue d'un transport sur place, lequel permettrait au tribunal d'obtenir une image nette et précise de la situation actuelle et du projet envisagé, au vu des caractéristiques des parcelles n° 1______ et 2______.</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14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w:t>
      </w:r>
    </w:p>
    <w:p>
      <w:r>
        <w:t>- 11/22 - A/4129/2023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15</w:t>
      </w:r>
    </w:p>
    <w:p>
      <w:r>
        <w:t>Le droit d’être entendu implique également pour l'autorité l'obligation de motiver sa décision. Selon la jurisprudence,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139 IV 179 consid. 2.2 ; 138 I 232 consid. 5.1 ; 137 II 266 consid. 3.2 ; 136 I 229 consid. 5.2 ; cf. aussi arrêt du Tribunal fédéral 9C_701/2018 du 27 novembre 2018 consid. 5.2 et les références citées).</w:t>
      </w:r>
    </w:p>
    <w:p>
      <w:r>
        <w:rPr>
          <w:b/>
        </w:rPr>
        <w:t>E. 16</w:t>
      </w:r>
    </w:p>
    <w:p>
      <w:r>
        <w:t>À teneur de l’art. 3 al. 3 LCI, les demandes d’autorisation sont soumises, à titre consultatif, au préavis des communes, des départements et des organismes intéressés. L’autorité de décision n’est pas liée par ces préavis (…).</w:t>
      </w:r>
    </w:p>
    <w:p>
      <w:r>
        <w:rPr>
          <w:b/>
        </w:rPr>
        <w:t>E. 17</w:t>
      </w:r>
    </w:p>
    <w:p>
      <w:r>
        <w:t>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t>- 12/22 - A/4129/2023</w:t>
      </w:r>
    </w:p>
    <w:p>
      <w:r>
        <w:rPr>
          <w:b/>
        </w:rPr>
        <w:t>E. 18</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19</w:t>
      </w:r>
    </w:p>
    <w:p>
      <w:r>
        <w:t>La jurisprudence relative aux préavis de la CA retient qu’un préavis favorable n’a en principe pas besoin d’être motivé (ATA/665/2023 du 20 juin 2023 consid. 4.9 ; ATA/414/2017 du 11 avril 2017 consid. 7b confirmé par arrêt du Tribunal fédéral 1C_297/2017 du 6 décembre 2017 consid. 3.4.2), même si une motivation plus explicite puisse être requise lorsque, par exemple, l’augmentation de la hauteur du gabarit légal est trop importante (ATA/824/2013 du 17 décembre 2013 consid. 5).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JTAPI/861/2023 du 17 août 2023 consid. 17 et ss confirmé par ATA/206/2024 du 13 février 2024 et les références citées).</w:t>
      </w:r>
    </w:p>
    <w:p>
      <w:r>
        <w:rPr>
          <w:b/>
        </w:rPr>
        <w:t>E. 20</w:t>
      </w:r>
    </w:p>
    <w:p>
      <w:r>
        <w:t>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21</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w:t>
      </w:r>
    </w:p>
    <w:p>
      <w:r>
        <w:t>- 13/22 - A/4129/2023 le loisir de faire valoir ses arguments en cours de procédure contentieuse aussi efficacement qu'elle aurait dû pouvoir le faire avant le prononcé de la décision litigieuse (ATA/802/2020 du 25 août 2020 consid. 4c et les références cités).</w:t>
      </w:r>
    </w:p>
    <w:p>
      <w:r>
        <w:rPr>
          <w:b/>
        </w:rPr>
        <w:t>E. 22</w:t>
      </w:r>
    </w:p>
    <w:p>
      <w:r>
        <w:t>En l’occurrence, les plans et les documents versés au dossier ainsi que la consultation des données librement accessibles sur la plateforme du SITG permettent de visualiser le projet litigieux, ses dimensions, le périmètre dans lequel il s’insère et les données relatives aux parcelles voisines de celle destinée à l’accueillir. Dès lors qu’un transport sur place aurait pour objet les mêmes éléments, cette mesure d’instruction ne fournirait pas d’informations pertinentes supplémentaires. Le dossier comporte en outre tous les éléments pertinents et nécessaires à l’examen des griefs et arguments mis en avant par les parties, permettant ainsi au tribunal de se forger une opinion et de trancher le litige. Partant, il ne sera pas donné suite à la requête de transport sur place, mesure d’instruction au demeurant non obligatoire. Pour le surplus et comme rappelé ci-dessus, le dossier d’autorisation est particulièrement complet et comprend toutes les informations utiles quant aux interventions projetées, ce qui a permis notamment aux instances de préavis spécialisées de se prononcer. Si les préavis favorables finaux de la CA et de la commune ne contiennent effectivement pas une motivation explicite, ces instances se sont cependant exprimées à deux reprises et de manière détaillée sur le projet, ce qui a conduit à plusieurs modifications de ce dernier, dans le sens des souhaits exprimés. Ainsi, la motivation de la position des instances spécialisées ressort de l'évolution du projet durant l'instruction, dûment illustrée par les plans au dossier. Dans ces circonstances, ces instances n’avaient nullement l’obligation de motiver de manière approfondie leurs derniers préavis et il serait erroné de retenir que l’évolution de leurs positions entre leurs premiers et derniers préavis se fonderait sur aucun élément objectif et/ou qu’elles auraient fait volte-face de manière incompréhensible et sans exposer les motifs les ayant guidées. Ce raisonnement vaut également pour le département qui s’est fondé sur lesdits préavis pour rendre la décision querellée. Il sied encore de relever que les préavis favorables n'ont, en principe, pas besoin d'être motivés. À partir de là, les recourants, en formulant des critiques sur la manière dont la CA a apprécié le projet en y donnant finalement son accord, ne font que substituer leur point de vue à celui de cette instance, ce qui sera démontré ci-après. Or, conformément à la jurisprudence susmentionnée, cette différence d’appréciation ne saurait être arbitrée librement. Lorsque l’autorité intimée suit le préavis de l’instance spécialisée, le tribunal doit en effet s’imposer une certaine retenue. Ainsi, sur le principe, il ne saurait être retenu que, se fondant sur les préavis favorables des instances spécialisées qui ont procédé à une analyse circonstanciée de la situation, le département aurait excédé son pouvoir d'appréciation.</w:t>
      </w:r>
    </w:p>
    <w:p>
      <w:r>
        <w:t>Au vu de ce qui précède, les griefs des recourants, infondés, seront écartés.</w:t>
      </w:r>
    </w:p>
    <w:p>
      <w:r>
        <w:t>- 14/22 - A/4129/2023</w:t>
      </w:r>
    </w:p>
    <w:p>
      <w:r>
        <w:rPr>
          <w:b/>
        </w:rPr>
        <w:t>E. 23</w:t>
      </w:r>
    </w:p>
    <w:p>
      <w:r>
        <w:t>Les recourants invoquent une violation du PDCom, des art. 3 al. 2 let. d LAT et 14 RCVA, en lien avec l’abattage de l’arbre projeté.</w:t>
      </w:r>
    </w:p>
    <w:p>
      <w:r>
        <w:rPr>
          <w:b/>
        </w:rPr>
        <w:t>E. 24</w:t>
      </w:r>
    </w:p>
    <w:p>
      <w:r>
        <w:t>L’art. 3 al. 2 LAT dispose que le paysage doit être préservé. Il convient notamment de conserver les sites naturels et les territoires servant au délassement (let. d).</w:t>
      </w:r>
    </w:p>
    <w:p>
      <w:r>
        <w:rPr>
          <w:b/>
        </w:rPr>
        <w:t>E. 25</w:t>
      </w:r>
    </w:p>
    <w:p>
      <w:r>
        <w:t>La loi sur la protection des monuments, de la nature et des sites du 4 juin 1976 (LPMNS - L - 4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w:t>
      </w:r>
    </w:p>
    <w:p>
      <w:r>
        <w:rPr>
          <w:b/>
        </w:rPr>
        <w:t>E. 26</w:t>
      </w:r>
    </w:p>
    <w:p>
      <w:r>
        <w:t>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LForêts, ainsi qu’aux haies vives et boqueteaux présentant un intérêt biologique ou paysager (art. 2 al. 1 RCVA).</w:t>
      </w:r>
    </w:p>
    <w:p>
      <w:r>
        <w:rPr>
          <w:b/>
        </w:rPr>
        <w:t>E. 27</w:t>
      </w:r>
    </w:p>
    <w:p>
      <w:r>
        <w:t>À teneur de l’art. 14 RCVA, les propriétaires, mandataires, requérants, constructeurs ou autres usagers de terrains sont tenus de veiller avec la plus grande attention à la préservation des arbres, haies vives et boqueteaux existants (al. 1). Il leur incombe : a) de traiter les arbres malades ou dépérissants ; b) de prendre, notamment lors de travaux, toutes précautions utiles pour assurer la survie des arbres, haies vives et boqueteaux, en se conformant aux directives édictées par le département ; c) d’appliquer les mesures arrêtées par le département destinées à prévenir et réparer les dégâts causés par des organismes nuisibles particulièrement dangereux (al. 2).</w:t>
      </w:r>
    </w:p>
    <w:p>
      <w:r>
        <w:rPr>
          <w:b/>
        </w:rPr>
        <w:t>E. 28</w:t>
      </w:r>
    </w:p>
    <w:p>
      <w:r>
        <w:t>La « directive concernant les mesures à prendre lors de travaux à proximité des arbres » (version 1.0, août 2008) édictée par le département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w:t>
      </w:r>
    </w:p>
    <w:p>
      <w:r>
        <w:rPr>
          <w:b/>
        </w:rPr>
        <w:t>E. 29</w:t>
      </w:r>
    </w:p>
    <w:p>
      <w:r>
        <w:t>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w:t>
      </w:r>
    </w:p>
    <w:p>
      <w:r>
        <w:t>- 15/22 - A/4129/2023 interdite (piétinement, dépôt de matériel ou circulation) à l’intérieur du périmètre délimité pendant toute la durée du chantier ; aucune modification ou ouverture temporaire de cet espace ne peut être envisagée sans l’accord du service.</w:t>
      </w:r>
    </w:p>
    <w:p>
      <w:r>
        <w:rPr>
          <w:b/>
        </w:rPr>
        <w:t>E. 30</w:t>
      </w:r>
    </w:p>
    <w:p>
      <w:r>
        <w:t>Le domaine vital de l’arbre (qui « correspond à la zone d’extension des racines vitales de l’arbre ») est constitué d’un périmètre équivalant au rayon de la couronne + 1m, de part et d’autre du tronc, et à la hauteur de l’arbre + 1m, tandis que le domaine de l’arbre (« l’espace nécessaire au développement optimal de celui-ci ») représente le double du rayon de la couronne, de part et d’autre du tronc, et à la hauteur de l’arbre + 1m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 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w:t>
      </w:r>
    </w:p>
    <w:p>
      <w:r>
        <w:rPr>
          <w:b/>
        </w:rPr>
        <w:t>E. 31</w:t>
      </w:r>
    </w:p>
    <w:p>
      <w:r>
        <w:t>Les points relevant directement de l’application des règles de l’art en matière de construction et sans aucune incidence sur la délivrance du permis de construire, tel par exemple le trafic lié au chantier, relève du droit privé (arrêt du Tribunal fédéral 1C_416/2012 du 6 décembre 2012 consid. 5 in fine).</w:t>
      </w:r>
    </w:p>
    <w:p>
      <w:r>
        <w:rPr>
          <w:b/>
        </w:rPr>
        <w:t>E. 32</w:t>
      </w:r>
    </w:p>
    <w:p>
      <w:r>
        <w:t>Conformément à la teneur claire de l'art. 10 al. 8 de la loi d'application de la loi fédérale sur l'aménagement du territoire du 4 juin 1987 (LaLAT - L 1 30), le grief tiré d'une violation du PDCom par des particuliers recourant contre une autorisation de construire est, de jurisprudence constante, irrecevable (ATA/130/2023 du 7 février 2023 et les références citées).</w:t>
      </w:r>
    </w:p>
    <w:p>
      <w:r>
        <w:rPr>
          <w:b/>
        </w:rPr>
        <w:t>E. 33</w:t>
      </w:r>
    </w:p>
    <w:p>
      <w:r>
        <w:t>En l'espèce, le projet implique l’abattage d’un seul arbre, soit un épicéa bleu, lequel ne figure toutefois pas en tant qu'arbre remarquable à l'inventaire des arbres du canton de Genève (https://ge-ch/tericasaisie), ne nécessitant ainsi pas que la question de son abattage soit appréciée de manière particulièrement restrictive. Au surplus, l'OCAN a examiné le projet à plusieurs reprises, requérant diverses modifications, avant de rendre un préavis favorable respectivement un préavis liant, favorables sous conditions, tant au projet qu’à l’abattage en question, le 6 octobre 2023. Parmi ces conditions figurent notamment le fait de replanter des arbres pour un montant d'au moins CHF 4'800.-, de respecter toutes les précautions nécessaires afin de protéger valablement les arbres maintenus à proximité des travaux, de</w:t>
      </w:r>
    </w:p>
    <w:p>
      <w:r>
        <w:t>- 16/22 - A/4129/2023 respecter le PAP du 5 septembre 2023 concernant la protection des végétaux ainsi que le plan d'installation de chantier de la même date. L’abattage de l’arbre a également été analysé par la CA et la commune, sous l'angle de la préservation du paysage et de l'harmonie du quartier, la CA demandant à ce qu'un arbre soit planté entre l'entrée et le couvert. Dans ces circonstances, rien ne permet de retenir que le département aurait abusé de son pouvoir d’appréciation en suivant ces préavis, étant rappelé que la prise de mesures a été exigée afin de limiter l’impact de l’intervention envisagée, comme la directive précitée le requiert. Aucun élément ne laisse pour le surplus à penser que les mesures préconisées par l’instance spécialisée ne seraient pas aptes à assurer la protection des végétaux concernés. Enfin, à teneur du PAP un arbre sera planté devant l'entrée de la maison de l’intimée, à quelques mètres à peine de l'épicéa bleu, ainsi qu'une multitude d'arbustes pour reconstituer les haies séparatives. L'incompréhension et les inquiétudes des recourants quant à la préservation des arbres durant le chantier n’apparaissent ainsi pas justifiées et sont en tout état prématurées. S’agissant enfin de la perte de l’intimité offerte par l’arbre en question, comme relevé par l’intimée, les recourants restent libres de prévoir sur leur parcelle une arborisation ou tout autre écran végétal. Partant, les griefs sont rejetés.</w:t>
      </w:r>
    </w:p>
    <w:p>
      <w:r>
        <w:rPr>
          <w:b/>
        </w:rPr>
        <w:t>E. 34</w:t>
      </w:r>
    </w:p>
    <w:p>
      <w:r>
        <w:t>Les recourants allèguent une violation de l'art. 59 al. 3bis LCI, relevant que les conditions posées par la commune dans son préavis du 25 janvier 2023 ne sont pas atteintes. En particulier, aucun plan précis et détaillé mentionnant le type de revêtement des surfaces perméables et imperméables de la parcelle ainsi que le calcul de pourcentage des surfaces perméables et imperméables par rapport au total de la surface de la parcelle n'était donné. Les trois parties de terre séparées du jardin, mentionnées sur les plans, ne pouvaient en outre être prises en compte dans ce calcul, étant toutes séparées les unes des autres, et l’une d’entre elle étant par ailleurs une zone bétonnée qui serait transformée en plate-bande. Ils contestent également que le Cr du couvert à voiture serait de 65 % et qu'il faudrait donc tenir compte, dans le calcul des surfaces perméables, de 4 % additionnels résultants des 27 m2 de ce dernier, au motif qu'il y aurait sur son toit un « couvert végétalisé ». Le renforcement en béton qui serait coulé sous la piscine, à 2.85 m de profondeur, et sur une surface plus grande que celle-ci (coupes AA et BB 1 : 1 00), avait enfin pour conséquence que cette zone ne pouvait être considérée comme de la surface de pleine terre.</w:t>
      </w:r>
    </w:p>
    <w:p>
      <w:r>
        <w:rPr>
          <w:b/>
        </w:rPr>
        <w:t>E. 35</w:t>
      </w:r>
    </w:p>
    <w:p>
      <w:r>
        <w:t>À teneur de l'art. 59 al. 3bis LCI, une surface en pleine terre, à savoir dénuée de toute construction en surface ou en sous-sol et non revêtue de la parcelle ou du groupe de parcelles considérées par la demande d’autorisation de construire doit être préservée.</w:t>
      </w:r>
    </w:p>
    <w:p>
      <w:r>
        <w:rPr>
          <w:b/>
        </w:rPr>
        <w:t>E. 36</w:t>
      </w:r>
    </w:p>
    <w:p>
      <w:r>
        <w:t>Dans l’exercice de la compétence que lui confère l’art. 59 al. 3bis LCI, le département dispose d’une grande liberté d’appréciation celle-ci n'étant limitée que par l'excès ou l'abus du pouvoir d'appréciation (art. 61 al. 2 LPA).</w:t>
      </w:r>
    </w:p>
    <w:p>
      <w:r>
        <w:t>- 17/22 - A/4129/2023</w:t>
      </w:r>
    </w:p>
    <w:p>
      <w:r>
        <w:rPr>
          <w:b/>
        </w:rPr>
        <w:t>E. 37</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ATA/552/2013 du 27 août 2013 ; ATA/114/2010 du 16 février 2010). Ces principes sont applicables mutatis mutandis en droit cantonal (ATA/1278/2018 précité consid. 10b ; ATA/1000/2018 du 25 septembre 2018 consid. 6d).</w:t>
      </w:r>
    </w:p>
    <w:p>
      <w:r>
        <w:rPr>
          <w:b/>
        </w:rPr>
        <w:t>E. 38</w:t>
      </w:r>
    </w:p>
    <w:p>
      <w:r>
        <w:t>En janvier 2021, le département a publié en ligne la marche à suivre laquelle décrit les nouvelles exigences de contenu et de forme à respecter dans la zone 5, tant pour les projets de construction que pour les plans directeurs communaux. Elle «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l'IQVER.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l'objet étant de de ménager des espaces sont suffisantes permettant</w:t>
      </w:r>
    </w:p>
    <w:p>
      <w:r>
        <w:t>- 18/22 - A/4129/2023 d'accueillir des sujets d'une certaine importance, ceux-ci caractérisant la zone 5 » (p. 13).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 De plus, selon la directive LCI 021-v7 sur le rapport des surfaces en zone 5 émise par le département le 1er mars 2013 et modifiée le 15 août 2022 (ci-après: directive 021-v7 ; https://www.ge.ch/document/4365/telecharger),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 Densification de la zone 5 »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S’il ressort ainsi d'une interprétation historique de l'art. 59 al. 3bis LCI que le législateur a renoncé à fixer un ratio minimal de surface de pleine terre afin de conférer une importante marge de manœuvre au département, sous réserve d'un préavis défavorable de la CA, il en découle néanmoins que la proportion de surface de pleine terre devrait, dans la mesure du possible, avoisiner les 40%.</w:t>
      </w:r>
    </w:p>
    <w:p>
      <w:r>
        <w:rPr>
          <w:b/>
        </w:rPr>
        <w:t>E. 39</w:t>
      </w:r>
    </w:p>
    <w:p>
      <w:r>
        <w:t>En l’espèce, force est de considérer que l'art. 59 al. 3bis LCI est respecté. A cet égard, l’on relèvera que la CA a requis deux modifications du projet relatives spécifiquement au taux de pleine terre, lesquelles ont permis d’augmenter sa surface à 47,5 % et de parvenir à un taux de 51.5% (dont 331 m2 en pleine terre) de la surface de la parcelle avec un coefficient de perméabilité inférieur ou égal à 70 %, ce qui a conduit cette instance de préavis à, finalement, se prononcer favorablement au projet, estimant le taux final suffisant. Les modifications requises ont également</w:t>
      </w:r>
    </w:p>
    <w:p>
      <w:r>
        <w:t>- 19/22 - A/4129/2023 eu pour objet d’éviter de morceler le jardin afin de disposer d’une surface de pleine terre d’un seul tenant. S'agissant pour le surplus du Cr retenu pour la toiture végétalisée du couvert à voitures, à teneur de la norme SN 592 000 (installation pour l'évacuation des biens fonds) une toiture plate végétalisée avec un substrat de moins de 10 cm d'épaisseur a un Cr de 0,7 (70 %), alors qu’il est de 0,4 (40%) entre 10 et 25 cm de substrat. La commune a également rendu un préavis favorable, estimant, de fait, que les calculs ressortant des plans versés le 6 septembres 2023 étaient suffisants pour déterminer la surface de pleine terre. Comme relevé par le département, le plan « B08 — Calcul détaillé de la surface de pleine terre (art. 59 al. 3bis LCI) selon marche à suivre — Densification de la zone 5 » relate au demeurant de manière détaillée les différentes surfaces et taux de perméabilité du projet et aucun élément du dossier ne permet de considérer que les calculs, validés tant par ces instances spécialisées que le département, seraient erronés. Le taux de pleine terre prévu par le projet est ainsi nettement supérieur à la proportion de 40% retenue par la jurisprudence, quand bien même on suivrait les recourants qui estiment que la surface du renforcement en béton coulé sous la piscine, à 2.85 m de profondeur, plus grande que celle-ci (coupes AA et BB 1 : 1 00), ne pourrait être considérée comme de la surface de pleine terre. Il ressort en effet des plans (Sous- sol — Projet), que ladite surface ne dépasse que d'1 m la taille de la piscine, sur sa longueur, ayant pour le surplus les mêmes dimensions que cette dernière. Ce grief sera écarté.</w:t>
      </w:r>
    </w:p>
    <w:p>
      <w:r>
        <w:rPr>
          <w:b/>
        </w:rPr>
        <w:t>E. 40</w:t>
      </w:r>
    </w:p>
    <w:p>
      <w:r>
        <w:t>Les recourants allèguent enfin une violation de l’art. 29 al. 3 LCI, en lien avec l’art. 3 al. 3 RCI. Ils estiment que le couvert à voiture n’est pas une CDPI, vu son gabarit.</w:t>
      </w:r>
    </w:p>
    <w:p>
      <w:r>
        <w:rPr>
          <w:b/>
        </w:rPr>
        <w:t>E. 41</w:t>
      </w:r>
    </w:p>
    <w:p>
      <w:r>
        <w:t>Selon l'art. 29 LCI lorsqu'une construction n'est pas édifiée à la limite de propriétés privées, la distance entre cette construction et la limite doit être au moins égale aux trois cinquièmes de la hauteur du gabarit diminuée de 3 m (al. 1).</w:t>
      </w:r>
    </w:p>
    <w:p>
      <w:r>
        <w:t>Sous réserve des dispositions des art. 28, 42 et 43, la distance entre une construction et une limite de propriété ne peut en aucun cas être inférieure à 6 m (D ≥ 6) (al. 3). Les alinéas 4 et 5 de l'art. 21 sont applicables pour le surplus (al. 4).</w:t>
      </w:r>
    </w:p>
    <w:p>
      <w:r>
        <w:rPr>
          <w:b/>
        </w:rPr>
        <w:t>E. 42</w:t>
      </w:r>
    </w:p>
    <w:p>
      <w:r>
        <w:t>Il ressort de l’art. 43 al. 1 LCI que des constructions basses ou de peu d’importance peuvent être édifiées à la limite de propriété ou à une distance inférieure à celle prévue pour les distances aux limites de propriétés, dans les conditions fixées par le règlement d’application.</w:t>
      </w:r>
    </w:p>
    <w:p>
      <w:r>
        <w:rPr>
          <w:b/>
        </w:rPr>
        <w:t>E. 43</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w:t>
      </w:r>
    </w:p>
    <w:p>
      <w:r>
        <w:t>- 20/22 - A/4129/2023</w:t>
      </w:r>
    </w:p>
    <w:p>
      <w:r>
        <w:rPr>
          <w:b/>
        </w:rPr>
        <w:t>E. 44</w:t>
      </w:r>
    </w:p>
    <w:p>
      <w:r>
        <w:t>Les CDPI font l’objet d’une directive du département du 3 février 2014, modifiée d’abord le 10 mars 2017 sous le numéro 024-v5, puis le 9 mars 2021 sous le numéro 024-v7 (ci-après : la directive CDPI).</w:t>
      </w:r>
    </w:p>
    <w:p>
      <w:r>
        <w:rPr>
          <w:b/>
        </w:rPr>
        <w:t>E. 45</w:t>
      </w:r>
    </w:p>
    <w:p>
      <w:r>
        <w:t>De jurisprudence constante, la chambre administrative se fonde sur cette directive pour déterminer les surfaces à prendre en compte à ce titre (ATA/129/2023 du 7 février 2023 consid. 4c).</w:t>
      </w:r>
    </w:p>
    <w:p>
      <w:r>
        <w:rPr>
          <w:b/>
        </w:rPr>
        <w:t>E. 46</w:t>
      </w:r>
    </w:p>
    <w:p>
      <w:r>
        <w:t>La directive CDPI a pour but de préciser le type de construction considéré comme telles et la manière de calculer les surfaces, hauteur et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w:t>
      </w:r>
    </w:p>
    <w:p>
      <w:r>
        <w:rPr>
          <w:b/>
        </w:rPr>
        <w:t>E. 47</w:t>
      </w:r>
    </w:p>
    <w:p>
      <w:r>
        <w:t>À teneur de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w:t>
      </w:r>
    </w:p>
    <w:p>
      <w:r>
        <w:rPr>
          <w:b/>
        </w:rPr>
        <w:t>E. 48</w:t>
      </w:r>
    </w:p>
    <w:p>
      <w:r>
        <w:t>L'art. 61 al. 2 LCI indique qu'à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(H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w:t>
      </w:r>
    </w:p>
    <w:p>
      <w:r>
        <w:rPr>
          <w:b/>
        </w:rPr>
        <w:t>E. 49</w:t>
      </w:r>
    </w:p>
    <w:p>
      <w:r>
        <w:t>Pour le calcul du gabarit, le point de référence au sol est mesuré conformément aux dispositions du plan d'aménagement ou des prescriptions du département ou, à défaut, à partir du niveau moyen du terrain naturel adjacent (art. 63 al. 1 LCI et art. 20 RCI). A cet égard, l’art. 20 al. 1 RCI précise que pour le calcul du gabarit, le point de référence au sol est mesuré conformément aux dispositions du plan d'aménagement ou des prescriptions du département ou, à défaut, à partir du niveau moyen du terrain naturel adjacent.</w:t>
      </w:r>
    </w:p>
    <w:p>
      <w:r>
        <w:rPr>
          <w:b/>
        </w:rPr>
        <w:t>E. 50</w:t>
      </w:r>
    </w:p>
    <w:p>
      <w:r>
        <w:t>En l'espèce, pour calculer le gabarit du couvert à voitures, il convient de se référer au plan du géomètre coupe A-A. A teneur de ce dernier, le niveau de terrain naturel adjacent à partir duquel il faut calculer le gabarit (cf. art. 20 al. 1 RCI) se situe à 427,50 m en limite de propriété. L'altitude du couvert à voitures est ainsi de 429,83 m (hauteur de 2,33 m en limite de propriété), de sorte qu’il s'insère parfaitement dans le gabarit prévu par l'art. 3 al. 3 RCI, avec même une marge de 17 cm (2,50 – 2,33) à la limite de propriété. Dans la mesure enfin où la hauteur se calcule jusqu’au</w:t>
      </w:r>
    </w:p>
    <w:p>
      <w:r>
        <w:t>- 21/22 - A/4129/2023 niveau supérieur de la dalle de couverture (art. 61 al. 4 LCI), il n’y a pas lieu de prendre en compte la taille de la couverture végétalisée dans le calcul du gabarit. C’est ainsi à juste titre que ce couvert a été qualifié de CDPI. Le grief est ainsi écarté. 51. Entièrement mal fondé, le recours est rejeté. 52. En application des art. 87 al. 1 LPA et 1 et 2 du règlement sur les frais, émoluments et indemnités en procédure administrative du 30 juillet 1986 (RFPA - E 5 10.03), les recourants, qui succombent, sont condamnés au paiement d’un émolument s'élevant à CHF 900.- ; il est couvert par l’avance de frais versée à la suite du dépôt du recours. 53. Vu l'issue du litige, une indemnité de procédure de CHF 1’000.-, à la charge conjointe et solidaire des recourants, sera allouée à Mme C______ (art. 87 al. 2 à 4 LPA et 6 RFPA).</w:t>
      </w:r>
    </w:p>
    <w:p>
      <w:r>
        <w:t>- 22/22 - A/4129/2023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