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JTAPI/818/2024 vom 22. August 2024</w:t>
      </w:r>
    </w:p>
    <w:p>
      <w:r>
        <w:t>GE Cour de justice, 2024-08-22, FR</w:t>
      </w:r>
    </w:p>
    <w:p>
      <w:r>
        <w:rPr>
          <w:b/>
        </w:rPr>
        <w:t xml:space="preserve">Quelle: </w:t>
      </w:r>
      <w:r>
        <w:t>https://mcp.opencaselaw.ch/entscheid/ge_gerichte_JTAPI_818_2024</w:t>
      </w:r>
    </w:p>
    <w:p>
      <w:r>
        <w:t>FR: GE_GERICHTE JTAPI/818/2024 du 22 août 2024</w:t>
      </w:r>
    </w:p>
    <w:p>
      <w:r>
        <w:t>IT: GE_GERICHTE JTAPI/818/2024 del 22 agosto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1.5</w:t>
      </w:r>
    </w:p>
    <w:p>
      <w:r>
        <w:t>; ATA/1218/2017 du 22 août 2017 consid. 3b). La contestation ne peut excéder l’objet de la décision attaquée, c’est-à-dire les prétentions ou les rapports juridiques sur lesquels l’autorité inférieure s’est prononcée ou aurait dû se prononcer (ATA/1218/2017 du 22 août 2017 consid. 3b ; ATA/421/2017 du 11 avril 2017 consid. 5 et les références citées ; ATA/1145/2015 du 27 octobre 2015 consid. 4b).</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- 9/17 - A/767/2024 attaquée, sauf exception prévue par la loi (art. 61 al. 2 LPA), non réalisée en l’espèce.</w:t>
      </w:r>
    </w:p>
    <w:p>
      <w:r>
        <w:rPr>
          <w:b/>
        </w:rPr>
        <w:t>E. 5</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2011, p. 179 n. 515).</w:t>
      </w:r>
    </w:p>
    <w:p>
      <w:r>
        <w:rPr>
          <w:b/>
        </w:rPr>
        <w:t>E. 6</w:t>
      </w:r>
    </w:p>
    <w:p>
      <w:r>
        <w:t>En l’espèce, s’agissant des objets visés par la décision du 26 janvier 2024, les recourants ont indiqué qu’ils ne s’opposaient pas à la suppression des places de parking en pavé engazonnés et qu’ils y procèderaient dans le délai imparti. Il ne ressort pour le surplus pas de leurs écritures qu’ils s’opposent à l’évacuation de la cabane de jardin en métal. Il leur appartiendra néanmoins de faire parvenir au département un reportage photographique ou tout autre élément attestant de manière univoque de la mise en conformité les concernant, comme exigé dans la décision querellée. Seules restent ainsi litigieuses les mesures, non réalisées, leur ordonnant la suppression et l'évacuation de la clôture en bois sur le pourtour de la parcelle, du cheminement en gravier, du cheminement en pavés ainsi que la remise en état du terrain naturel après les réalisations précitées. Il s’agira dès lors d’examiner si le département était fondé à prononcer ces dernières à l’encontre des recourants.</w:t>
      </w:r>
    </w:p>
    <w:p>
      <w:r>
        <w:rPr>
          <w:b/>
        </w:rPr>
        <w:t>E. 7</w:t>
      </w:r>
    </w:p>
    <w:p>
      <w:r>
        <w:t>Les recourante considèrent que l’ordre de remise en conformité du département est infondé, ce dernier ayant considéré à tort que les cheminements et la clôture étaient des aménagements soumis à autorisation. L’ordre de remise en état était en tout état disproportionné dès lors qu’il ne tenait pas compte des intérêts privés et publics prépondérants au maintien des installations litigieuses. Son objectif était enfin confus et peu clair puisqu’il tendait à deux résultats incompatibles dès lors qu’un retour à l’état antérieur, soit un terrain de gravas, ne permettrait pas de veiller à ce que les emplacements litigieux soient « aptes à être exploités pour l’agricultures ».</w:t>
      </w:r>
    </w:p>
    <w:p>
      <w:r>
        <w:rPr>
          <w:b/>
        </w:rPr>
        <w:t>E. 8</w:t>
      </w:r>
    </w:p>
    <w:p>
      <w:r>
        <w:t>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w:t>
      </w:r>
    </w:p>
    <w:p>
      <w:r>
        <w:rPr>
          <w:b/>
        </w:rPr>
        <w:t>E. 9</w:t>
      </w:r>
    </w:p>
    <w:p>
      <w:r>
        <w:t>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w:t>
      </w:r>
    </w:p>
    <w:p>
      <w:r>
        <w:t>- 10/17 - A/767/2024 d'équipement ou soit encore parce qu'ils sont susceptibles de porter atteinte à l'environnement (ATF 140 II 473 consid. 3.4.1 ; 123 II 256 consid. 3; ATF 119 Ib 222 consid. 3a). La définition jurisprudentielle susmentionnée comporte quatre conditions cumulatives (Piermarco ZEN-RUFFINEN/Christine GUY-ECABERT, Aménagement du territoire, construction, expropriation, 2001, p. 214-218) : 1. La création par la main de l'homme, excluant toute modification naturelle du terrain telle que des éboulis ; 2. 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ZEN-RUFFINEN/Christine GUY-ECABERT, op. cit. p. 215) ; 3. La fixation au sol de la construction.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 arrêt du Tribunal fédéral du 5 juillet 2011 dans la cause 1C_75/2011 consid. 2.1; Alexander RUCH, in Heinz AEMISEGGER/Alfred KUTTLER/Pierre MOOR/Alexander RUCH, Commentaire de la LAT, 2010, n. 24 ad art. 22 LAT). Des nattes en géotextile, utilisées pour aménager une parcelle d'une superficie de 5'773 m2, couvrant les talus en pente depuis plus de deux ans et demi sont indéniablement des éléments durablement fixés au sol (arrêt du 5 septembre 2011 du Tribunal fédéral du 1C_107/2011 consid. 3.3) ; 4.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 par son impact esthétique sur le paysage (Piermarco ZEN-RUFFINEN/Christine GUY- ECABERT, op. cit., p. 216). L'élément déterminant n'est pas tant l'installation en soi que l'utilisation qui en sera faite et en particulier son impact sur l'environnement au sens large (ATA/244/2013 du 16 avril 2013 ; ATA/61/2011</w:t>
      </w:r>
    </w:p>
    <w:p>
      <w:r>
        <w:t>- 11/17 - A/767/2024 du 1er février 2011 ; Alexander RUCH, op. cit., ad art. 22 n. 28 ; DFJP/OFAT, Étude relative à la loi fédérale sur l'aménagement du territoire, 1981, ad art. 22 n. 5 ss).</w:t>
      </w:r>
    </w:p>
    <w:p>
      <w:r>
        <w:rPr>
          <w:b/>
        </w:rPr>
        <w:t>E. 10</w:t>
      </w:r>
    </w:p>
    <w:p>
      <w:r>
        <w:t>Ainsi le Tribunal fédéral a récemment confirmé qu’étaient soumis à autorisation des serres-tunnels, une cour, des parkings et un chemin litigieux, relevant, concernant les trois derniers qu’il importait peu qu'en l'espèce, le revêtement soit semi-perméable. En effet, de tels aménagements modifiaient sensiblement l'espace extérieur et tombaient par conséquent dans la notion de construction ou d'installation telle que prévue à l'art. 22 al. 1 LAT (arrêt du Tribunal fédéral 1C_112//2023 du 15 décembre 2023 consid. 2.2). Il en a fait de même concernant des clôtures et barrières hors la zone à bâtir (arrêt du Tribunal fédéral 1C_535/2021 du 14 avril 2023 consid. 2.4).</w:t>
      </w:r>
    </w:p>
    <w:p>
      <w:r>
        <w:rPr>
          <w:b/>
        </w:rPr>
        <w:t>E. 11</w:t>
      </w:r>
    </w:p>
    <w:p>
      <w:r>
        <w:t>Conformément à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modifier la configuration du terrain (let. d) et aménager des voies de circulation, des places de parcage ou une issue sur la voir publique (let. e).</w:t>
      </w:r>
    </w:p>
    <w:p>
      <w:r>
        <w:rPr>
          <w:b/>
        </w:rPr>
        <w:t>E. 12</w:t>
      </w:r>
    </w:p>
    <w:p>
      <w:r>
        <w:t>L'art. 1 al. 1 du règlement d’application de la loi sur les constructions et les installations diverses du 27 février 1978 (RCI – L 5 05.01) précise que sont réputées constructions ou installations toutes choses immobilières ou mobilières édifiées au- dessus ou au-dessous du sol, ainsi que toutes leurs parties intégrantes et accessoires, soit, notamment, les garages et ateliers de réparations, les entrepôts, les dépôts de tous genres (let. c) et les installations extérieures destinées à l’exploitation d’une industrie ou à l’extraction de matières premières (let. e).</w:t>
      </w:r>
    </w:p>
    <w:p>
      <w:r>
        <w:rPr>
          <w:b/>
        </w:rPr>
        <w:t>E. 13</w:t>
      </w:r>
    </w:p>
    <w:p>
      <w:r>
        <w:t>Lorsque l'état d'une construction, d'une installation ou d'une autre chose n'est pas conforme aux prescription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rPr>
          <w:b/>
        </w:rPr>
        <w:t>E. 14</w:t>
      </w:r>
    </w:p>
    <w:p>
      <w:r>
        <w:t>De jurisprudence constante, pour être valable, un ordre de mise en conformité doit respecter cinq conditions. Premièrement, il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En particulier, les installations litigieuses ne doivent pas avoir été tolérées par</w:t>
      </w:r>
    </w:p>
    <w:p>
      <w:r>
        <w:t>- 12/17 - A/767/2024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(cf. ATA/1599/2019 du 29 octobre 2019 consid. 8b ; ATA/213/2018 du 6 mars 2018 consid. 11 ; ATA/1411/2017 du 17 octobre 2017 consid. 4a et les références citées).</w:t>
      </w:r>
    </w:p>
    <w:p>
      <w:r>
        <w:rPr>
          <w:b/>
        </w:rPr>
        <w:t>E. 15</w:t>
      </w:r>
    </w:p>
    <w:p>
      <w:r>
        <w:t>Des constructions ou aménagements formellement non autorisés doivent en principe être démolis s'ils ne peuvent pas être légalisés a posteriori (cf. ATF 136 II 359 consid. 6), surtout lorsqu’ils sont réalisés en dehors de la zone à bâtir car le principe de la séparation de l'espace bâti et non bâti, qui préserve différents intérêts publics, est de rang constitutionnel et fait partie intégrante de la notion d'utilisation mesurée du sol de l'art. 75 al. 1 Cst. (cf. Message du Conseil fédéral du 20 janvier 2010 relatif à une révision partielle de la LAT, FF 2010 964 ch. 1.2.1 et 973 ch. 2.1 ; arrêt du Tribunal fédéral 1C_76/2019 du 28 février 2020 consid. 7.1 et les références citées). Cette séparation doit par conséquent, en dehors des exceptions prévues par la loi, demeurer d'application stricte (ATF 132 II 21 consid. 6.4 ; arrêt du Tribunal fédéral 1A.301/2000 du 28 mai 2001 consid. 6c) et l'ordre de démolir une construction ou un ouvrage édifié sans permis et pour lequel une autorisation ne pouvait être accordée n'est en principe pas contraire au principe de la proportionnalité. Si des constructions illégales sont indéfiniment tolérées, ce principe de séparation est remis en question et un comportement contraire au droit s'en trouve récompensé (arrêt du Tribunal fédéral 1C_76/2019 du 28 février 2020 consid. 7.1), alors que celui qui place l'autorité devant un fait accompli doit au contraire s'attendre à ce que celle-ci se préoccupe plus de rétablir une situation conforme au droit que d'éviter les inconvénients qui en découlent pour lui (ATF 123 II 248 consid. 4a et les références ; arrêts du Tribunal fédéral 1C_60/2021 du 27 juillet 2021 consid. 3.1). S'ajoute à cela que la remise en état poursuit encore d'autres intérêts publics, à savoir la limitation du nombre et des dimensions des constructions en zone agricole (cf. ATF 132 II 21 consid. 6.4 ; ATF 111 Ib 213 consid. 6b ; arrêt du Tribunal fédéral 1A.301/2000 du 28 mai 2001 consid. 6c) ainsi que le respect du principe de l'égalité devant la loi (arrêt du Tribunal fédéral 1C_276/2016 du 2 juin 2017 consid. 3.3).</w:t>
      </w:r>
    </w:p>
    <w:p>
      <w:r>
        <w:rPr>
          <w:b/>
        </w:rPr>
        <w:t>E. 16</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 ATA/738/2017 du 3 octobre 2017 consid. 8).</w:t>
      </w:r>
    </w:p>
    <w:p>
      <w:r>
        <w:rPr>
          <w:b/>
        </w:rPr>
        <w:t>E. 17</w:t>
      </w:r>
    </w:p>
    <w:p>
      <w:r>
        <w:t>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w:t>
      </w:r>
    </w:p>
    <w:p>
      <w:r>
        <w:t>- 13/17 - A/767/2024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w:t>
      </w:r>
    </w:p>
    <w:p>
      <w:r>
        <w:rPr>
          <w:b/>
        </w:rPr>
        <w:t>E. 18</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w:t>
      </w:r>
    </w:p>
    <w:p>
      <w:r>
        <w:rPr>
          <w:b/>
        </w:rPr>
        <w:t>E. 19</w:t>
      </w:r>
    </w:p>
    <w:p>
      <w:r>
        <w:t>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 Elle peut renoncer à un ordre de démolition, conformément au principe de la proportionnalité,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1C_544/2014 du 1er avril 2015 consid. 4.2]), si celui-ci pouvait de bonne foi se croire autorisé à construire ou encore s'il y a des chances sérieuses de faire reconnaître la construction comme conforme au droit (cf. ATF 132 II 21 consid. 6 ; ATF 123 II 248 consid. 3a/bb ; arrêt du Tribunal fédéral 1C_60/2021 du 27 juillet 2021 consid. 3.1 ; ATA/1399/2019 du 17 septembre 2019 consid. 3c).</w:t>
      </w:r>
    </w:p>
    <w:p>
      <w:r>
        <w:rPr>
          <w:b/>
        </w:rPr>
        <w:t>E. 20</w:t>
      </w:r>
    </w:p>
    <w:p>
      <w:r>
        <w:t>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w:t>
      </w:r>
    </w:p>
    <w:p>
      <w:r>
        <w:rPr>
          <w:b/>
        </w:rPr>
        <w:t>E. 21</w:t>
      </w:r>
    </w:p>
    <w:p>
      <w:r>
        <w:t>Le Tribunal fédéral est particulièrement strict en zone agricole et a ainsi confirmé les ordres de démolition ou d'enlèvement des constructions ou installations suivantes érigées sans autorisation : portail d’entrée, clôture, haie, divers bâtiments (pergola, couverts à poules et lapins, containers) et aménagements extérieurs (arrêt du tribunal fédéral 1C_60/2021 du 27 juillet 2021) et : une palissade en bois, un mobil home, un chalet, un sous-sol, des containers utilisés pour loger des employés d'une exploitation agricole, un appentis de 12,54 m2 et un cabanon de jardin de 10,29 m2 (ATF 1C_482/2017 du 26 février 2018). De manière générale dans l'examen de la proportionnalité, les intérêts des propriétaires sont, à juste titre, mis</w:t>
      </w:r>
    </w:p>
    <w:p>
      <w:r>
        <w:t>- 14/17 - A/767/2024 en retrait par rapport à l'importance de préserver la zone agricole d'installations qui n'y ont pas leur place.</w:t>
      </w:r>
    </w:p>
    <w:p>
      <w:r>
        <w:rPr>
          <w:b/>
        </w:rPr>
        <w:t>E. 22</w:t>
      </w:r>
    </w:p>
    <w:p>
      <w:r>
        <w:t>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dont deux chemins et deux cours servant de parking (ATA/684/2022 du 28 juin 2022). Plus récemment, elle a confirmé l’ordre de rétablir une situation conforme au droit en procédant à la remise en état du terrain naturel suite à un remblayage effectué sans autorisation (ATA/111/2024 du 30 janvier 2024), respectivement à l’enlèvement d’une clôture en métal en vue de la garde d’animaux à titre de loisirs (ATA/1112/2023 du 10 octobre 2023). Ces deux arrêts font l’objet de recours au Tribunal fédéral, en cours d’examen. 5. S'il peut certes être tenu compte de situations exceptionnelles par le biais de solutions spécifiques, notamment par la fixation d'un délai de remise en état plus long, une utilisation illégale ne doit pas se poursuivre indéfiniment sur la base du simple écoulement du temps (arrêts du Tribunal fédéral 1C_60/2021 du 27 juillet 2021 consid. 3.2.1 ; 1C_469/2019 consid. 5.5 et 5.6). 6. Enfin,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7. En l’espèce, il n’est pas contesté que les constructions visées par la décision querellée ne sont pas autorisées, ni d’ailleurs autorisables, en zone agricole. A cet égard, les recourants admettent que les régime d’exception prévus aux art. 24 et ss LAT et 27 LaLAT ne s’appliquaient pas. L’ordre de remise en état est pour le surplus dirigé contre les propriétaires de la parcelle qui sont les perturbateurs. Le délai de péremption de trente ans ne s’applique pas en dehors de la zone à bâtir et il n’apparaît pas que le DT aurait créé d’une quelconque manière des expectatives légitimes qu’il se justifierait de protéger sous l’angle de la bonne foi ; les recourants ne l’invoquent d’ailleurs pas. Il existe un intérêt public certain, de rang constitutionnel, à la préservation de la zone agricole et de la séparation entre espace bâti et non-bâti et le fait que les objets en cause existeraient depuis de très nombreuses années – ce qui n’est manifestement pas le cas, sous leur forme actuelle, à teneur de l’évolution des photographies aériennes disponibles sur le site du SITG –, n’y change rien. On ne voit enfin pas quelle mesure moins incisive permettrait de protéger les intérêts publics compromis, étant de plus rappelé que celui qui place l’autorité devant le fait accompli doit s’attendre à ce que celle-ci se</w:t>
      </w:r>
    </w:p>
    <w:p>
      <w:r>
        <w:t>- 15/17 - A/767/2024 préoccupe davantage de rétablir une situation conforme au droit qu’à éviter les inconvénients qui en découlent pour lui. A cet égard, en relation avec le principe de la proportionnalité, les recourants invoquent que la clôture serait nécessaire pour la sécurité de leurs locataires, des deux chiens de ces derniers et d’éventuels enfants. De tels motifs ne sauraient toutefois légaliser une situation contraire au droit étant relevé que des solutions plus respectueuses de la zone concernée devraient pouvoir être trouvées. Au demeurant, même si les risques mis en avant par les recourants étaient avérés, leurs intérêts purement privés ne l’emporteraient pas sur l’intérêt public et de rang constitutionnel rappelé ci-dessus. En tout état, les locataires restent libres d’emménager dans un autre logement s’ils estiment que leur sécurité n’est plus garantie. Il sera par ailleurs rappelé que l’ordre de démolir une construction ou un ouvrage édifié sans permis et pour lequel une autorisation ne peut être accordée n’est, en principe, pas contraire au principe de proportionnalité. Quant aux cheminements litigieux, l’intérêt des ayants-droits, en particulier les bénéficiaires de la servitude de passage sur la parcelle des recourants, n’apparait pas prépondérant, si tant est qu’il existe, respectivement subsiste, dans la mesure où les parcelles n° 8______, 5______, 7______ et 9______ concernées disposent toutes d’un autre accès à la voie publique.</w:t>
      </w:r>
    </w:p>
    <w:p>
      <w:r>
        <w:t>S’agissant enfin des modalités de la remise en état, en particulier du sol, le département a expressément précisé dans sa décision ce qui était attendu, renvoyant au Rapport explicatif du Plan sectoriel des surfaces d'assolement : https://www- are.admin.ch/are/fr/home/developpement-et-amenagement-du-territoire/strategie- et-planification/conceptions-et-plans-sectoriels/plans-sectoriels-de-la- confederation/sda.html) et invitant, au besoin, les recourants, pour toute question à ce sujet, notamment sur la nature des matériaux terreux pouvant être entreposés sur la parcelle et leurs quantités, à prendre contact directement avec le Service de géologie, sols et déchets (…). Il ne fait aucun doute que dans ce cadre un solution pragmatique et respectueuse tant de l’intérêt public à la préservation de la zone agricole que des intérêts privés, notamment financiers, des recourants pourra être trouvée.</w:t>
      </w:r>
    </w:p>
    <w:p>
      <w:r>
        <w:t>En conclusion, l’ordre de remise en conformité au droit respecte le principe de proportionnalité et remplit à l’évidence les conditions posées par la jurisprudence. Il doit ainsi être confirmé, le département n’ayant commis aucun excès ou abus de son pouvoir d’appréciation, étant une fois encore rappelé que les intérêts mis en avant par les recourants, pour l’essentiel de confort, ne saurait l'emporter sur l’intérêt public ici protégé. 8. Au vu de ce qui précède, l’ordre de remise en conformité sera confirmé tant dans son principe que dans ses modalités. 9. Entièrement mal fondé, le recours doit être rejeté.</w:t>
      </w:r>
    </w:p>
    <w:p>
      <w:r>
        <w:t>- 16/17 - A/767/2024 10. En application des art. 87 al. 1 LPA et 1 et 2 du règlement sur les frais, émoluments et indemnités en procédure administrative du 30 juillet 1986 (RFPA - E 5 10.03), les recourants, qui succombent, sont condamnés, conjointement et solidairement, au paiement d’un émolument s'élevant à CHF 900.- ; il est couvert par l’avance de frais versée à la suite du dépôt du recours. Vu l’issue du litige, aucune indemnité de procédure ne sera allouée (art. 87 al. 2 LPA).</w:t>
      </w:r>
    </w:p>
    <w:p>
      <w:r>
        <w:t>- 17/17 - A/767/2024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