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JTAPI/810/2024 vom 22. August 2024</w:t>
      </w:r>
    </w:p>
    <w:p>
      <w:r>
        <w:t>GE Cour de justice, 2024-08-22, FR</w:t>
      </w:r>
    </w:p>
    <w:p>
      <w:r>
        <w:rPr>
          <w:b/>
        </w:rPr>
        <w:t xml:space="preserve">Quelle: </w:t>
      </w:r>
      <w:r>
        <w:t>https://mcp.opencaselaw.ch/entscheid/ge_gerichte_JTAPI_810_2024</w:t>
      </w:r>
    </w:p>
    <w:p>
      <w:r>
        <w:t>FR: GE_GERICHTE JTAPI/810/2024 du 22 août 2024</w:t>
      </w:r>
    </w:p>
    <w:p>
      <w:r>
        <w:t>IT: GE_GERICHTE JTAPI/810/2024 del 22 agosto 2024</w:t>
      </w:r>
    </w:p>
    <w:p>
      <w:pPr>
        <w:pStyle w:val="Heading2"/>
      </w:pPr>
      <w:r>
        <w:t>Erwägungen</w:t>
      </w:r>
    </w:p>
    <w:p>
      <w:r>
        <w:rPr>
          <w:b/>
        </w:rPr>
        <w:t>E. 1</w:t>
      </w:r>
    </w:p>
    <w:p>
      <w:r>
        <w:t>Le Tribunal administratif de première instance connaît des recours dirigés contre les décisions prises en application de LRoutes ou de ses dispositions d’application, tel, par exemple, que le RUDP (art. 93 al. 1 RUDP cum 96 al. 1 LRoutes).</w:t>
      </w:r>
    </w:p>
    <w:p>
      <w:r>
        <w:rPr>
          <w:b/>
        </w:rPr>
        <w:t>E. 2</w:t>
      </w:r>
    </w:p>
    <w:p>
      <w:r>
        <w:t>Parmi les questions que le tribunal doit dans tous les cas trancher lors de l'examen préalable de la recevabilité du recours, se pose celle de savoir si l'acte attaqué constitue une décision susceptible de recours, au sens des art. 4 et 57 LPA</w:t>
      </w:r>
    </w:p>
    <w:p>
      <w:r>
        <w:rPr>
          <w:b/>
        </w:rPr>
        <w:t>E. 3</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(ATA/509/2016 du 14 juin 2016 consid. 4c ; ATA/15/2016 du 12 janvier 2016 consid. 2a). En droit genevois, la notion de décision est calquée sur le droit fédéral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w:t>
      </w:r>
    </w:p>
    <w:p>
      <w:r>
        <w:t>- 5/7 - A/3410/2023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4</w:t>
      </w:r>
    </w:p>
    <w:p>
      <w:r>
        <w:t>Lorsque le besoin de protection juridique l'exige, il peut à la rigueur y avoir une voie de recours même en l'absence de décision formelle. Tel est le cas si une autorité refuse à tort de prendre une décision ou tarde à le faire (déni de justice formel). Suivant les circonstances, la question peut aussi se poser en cas d'actes matériels (Realakte) positifs, par lesquels l'Etat viole des droits fondamentaux sans prendre de décision. Mais, il doit en tout cas s'agir d'actes ou d'injonctions qui ressortissent à l'Etat ou à une personne chargée de tâches publiques et qui fondent un besoin spécial de protection juridique en raison de leur contenu ou des droits fondamentaux touchés(arrêt 2P.96/2000 du 8 juin 2001, consid. 5a).</w:t>
      </w:r>
    </w:p>
    <w:p>
      <w:r>
        <w:rPr>
          <w:b/>
        </w:rPr>
        <w:t>E. 5</w:t>
      </w:r>
    </w:p>
    <w:p>
      <w:r>
        <w:t>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 Selon ses travaux préparatoires, cette disposition vise en particulier à adapter le droit administratif genevois aux exigences posées par la garantie de l'accès au juge ancrée à l'art. 29a de la Constitution fédérale de la Confédération suisse du 18 avril 1999 (Cst - RS 101). (exposé des motifs du projet de loi n° PL 10253 modifiant la LOJ, déposé en mai 2003 par le Conseil d'État, in Mémorial du Grand Conseil [ci- après : MGC] MGC 2007-2008/VIII A - 6520). Selon cette disposition constitutionnelle, toute personne a droit à ce que sa cause soit jugée par une autorité judiciaire (phr. 1). La Confédération et les cantons peuvent, par la loi, exclure l'accès au juge dans des cas exceptionnels (phr. 2).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ss), pour conclure qu'il ressort de la jurisprudence du Tribunal fédéral et de la doctrine que les cantons sont tenus d'ouvrir la possibilité de demander à l'autorité compétente une décision</w:t>
      </w:r>
    </w:p>
    <w:p>
      <w:r>
        <w:t>- 6/7 - A/3410/2023 attaquable et de prévoir une voie de droit analogue à celle de l'art. 25a PA (MGC 2007-2008/VIII A - 6535 ; ATA/141/2020 du 11 février 2020 consid. 1c).</w:t>
      </w:r>
    </w:p>
    <w:p>
      <w:r>
        <w:rPr>
          <w:b/>
        </w:rPr>
        <w:t>E. 6</w:t>
      </w:r>
    </w:p>
    <w:p>
      <w:r>
        <w:t>En l'espèce, si les recourantes prétendent que le courrier du 11 septembre 2023 constituerait une décision sujette à recours, force est de constater qu'elle ne remplit pas tous les critères prévus par l'art. 4 LPA et par la jurisprudence précitée, mais constitue une simple communication de l'administration. En effet, le contenu de ce courrier ne tend à l'évidence pas à modifier la situation juridique ou factuelle des recourantes, mais en substance à leur rappeler la procédure à suivre dans le cadre des activités de vidange et d'assainissement soit l'obligation de formuler une demande de chantier, au moins 5 jours avant l'intervention, les cas d'urgence étant réservées. L'intimée ne prend aucune mesure concrète à l’encontre des recourantes, ni ne règle aucun cas concret, par le biais dudit courrier. Il est ainsi manifeste que ce courrier ne constitue pas une décision administrative, sujette à recours, mais qu'il s'agit au mieux d'un énoncé abstrait de certains de leurs droits et obligations, au même titre que n'importe quelle norme légale ou réglementaire, ou directive, contre laquelle les recourants ne pourraient pas non plus agir devant le tribunal de céans. Le simple fait que les recourantes ont exigé de l'autorité, par courrier du 11 août 2023, que celle-ci rende un acte administratif formel, sujet à recours, conformément à l'art. 4A LPA ne permet en aucune mesure de retenir que la correspondance qu'elles ont reçue en retour constituerait une décision administrative. De plus l'art. 4A LPA visant à garantir l'accès au juge, il faut que le caractère subsidiaire de la démarche soit démontré. Dans le cas d'espèce, la pratique contestée par les recourantes a donné lieu à des taxes (qualifiées à tort d'amendes par la recourantes) que leurs destinataires auraient pu contester devant le tribunal de céans. Il n'y a dès lors aucune raison d'exiger une décision constatatoire dans le cas d'espèce. La légalité de la nouvelle pratique mise en place par l'autorité intimée pourra être contestée à l'occasion de recours dirigés contre des décisions individuelles et concrètes prises en application de cette pratique.</w:t>
      </w:r>
    </w:p>
    <w:p>
      <w:r>
        <w:rPr>
          <w:b/>
        </w:rPr>
        <w:t>E. 7</w:t>
      </w:r>
    </w:p>
    <w:p>
      <w:r>
        <w:t>Partant, le recours dans son ensemble doit être déclaré irrecevable.</w:t>
      </w:r>
    </w:p>
    <w:p>
      <w:r>
        <w:rPr>
          <w:b/>
        </w:rPr>
        <w:t>E. 8</w:t>
      </w:r>
    </w:p>
    <w:p>
      <w:r>
        <w:t>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500.- ; il est couvert par l’avance de frais de même montant versée à la suite du dépôt du recours. Vu l’issue du litige, aucune indemnité de procédure ne sera allouée (art. 87 al. 2 LPA).</w:t>
      </w:r>
    </w:p>
    <w:p>
      <w:r>
        <w:t>- 7/7 - A/3410/2023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