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JTAPI/80/2025 vom 2. Dezember 2019</w:t>
      </w:r>
    </w:p>
    <w:p>
      <w:r>
        <w:t>GE Cour de justice, 2019-12-02, FR</w:t>
      </w:r>
    </w:p>
    <w:p>
      <w:r>
        <w:rPr>
          <w:b/>
        </w:rPr>
        <w:t xml:space="preserve">Quelle: </w:t>
      </w:r>
      <w:r>
        <w:t>https://mcp.opencaselaw.ch/entscheid/ge_gerichte_JTAPI_80_2025</w:t>
      </w:r>
    </w:p>
    <w:p>
      <w:r>
        <w:t>FR: GE_GERICHTE JTAPI/80/2025 du 2 décembre 2019</w:t>
      </w:r>
    </w:p>
    <w:p>
      <w:r>
        <w:t>IT: GE_GERICHTE JTAPI/80/2025 del 2 dicembre 2019</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t>- 10/14 - A/1807/2024</w:t>
      </w:r>
    </w:p>
    <w:p>
      <w:r>
        <w:rPr>
          <w:b/>
        </w:rPr>
        <w:t>E. 5</w:t>
      </w:r>
    </w:p>
    <w:p>
      <w:r>
        <w:t>L’objet du litige porte sur la décision de l’OCPM du 19 avril 2024 refusant d’entrer en matière sur la demande de reconsidération dont les recourants ont saisi l’OCPM le 27 mars 2024.</w:t>
      </w:r>
    </w:p>
    <w:p>
      <w:r>
        <w:rPr>
          <w:b/>
        </w:rPr>
        <w:t>E. 6</w:t>
      </w:r>
    </w:p>
    <w:p>
      <w:r>
        <w:t>Selon l'art. 48 al. 1 LPA, les demandes en reconsidération de décisions prises par les autorités administratives sont recevables lorsque (let. a) un motif de révision au sens de l’article 80, lettres a et b, existe ou (let. b) les circonstances se sont modifiées dans une mesure notable depuis la première décision.</w:t>
      </w:r>
    </w:p>
    <w:p>
      <w:r>
        <w:rPr>
          <w:b/>
        </w:rPr>
        <w:t>E. 7</w:t>
      </w:r>
    </w:p>
    <w:p>
      <w:r>
        <w:t>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w:t>
      </w:r>
    </w:p>
    <w:p>
      <w:r>
        <w:rPr>
          <w:b/>
        </w:rPr>
        <w:t>E. 7.2</w:t>
      </w:r>
    </w:p>
    <w:p>
      <w:r>
        <w:t>; 2C_883/2018 du 21 mars 2019 consid. 4.4 ; 2C_556/2018 du 14 novembre 2018 consid. 3 ; 2C_198/2018 du 25 juin 2018 consid. 3.3).</w:t>
      </w:r>
    </w:p>
    <w:p>
      <w:r>
        <w:rPr>
          <w:b/>
        </w:rPr>
        <w:t>E. 8</w:t>
      </w:r>
    </w:p>
    <w:p>
      <w:r>
        <w:t>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C- 1545/2008 du 8 juillet 2008 consid. 5 ; C-7483/2006 du 19 juin 2007 consid. 6 ; C- 1798/2006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w:t>
      </w:r>
    </w:p>
    <w:p>
      <w:r>
        <w:t>- 12/14 - A/1807/2024 l'écoulement du temps, que le recourant a largement favorisé, peut d'ailleurs être reconnu comme un procédé dilatoire (cf. arrêt du Tribunal fédéral 2A.271/2004 du 7 octobre 2004 consid. 3.3).</w:t>
      </w:r>
    </w:p>
    <w:p>
      <w:r>
        <w:rPr>
          <w:b/>
        </w:rPr>
        <w:t>E. 14</w:t>
      </w:r>
    </w:p>
    <w:p>
      <w:r>
        <w:t>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 consid. 3b ; ATA/539/2020 précité consid. 4b ; ATA/1244/2019 13 août 2019 consid. 5b).</w:t>
      </w:r>
    </w:p>
    <w:p>
      <w:r>
        <w:rPr>
          <w:b/>
        </w:rPr>
        <w:t>E. 15</w:t>
      </w:r>
    </w:p>
    <w:p>
      <w:r>
        <w:t>En l'espèce, il convient de déterminer si les circonstances dont les recourants se sont prévalu dans leur demande du 27 mars 2024 peuvent être considérées, d'une part, comme nouvelles depuis que la décision du 3 juin 2021 est entrée en force, suite à l’arrêt 2D_23/2022 rendu par le Tribunal fédéral le 7 juin 2022, et, d'autre part, comme importantes, une éventuelle réponse positive sur ces deux questions devant amener à l'admission du recours. Le point de comparaison pour en juger est la situation prise en considération dans l’ATA/430/2022 du 26 avril 2022, dès lors que la chambre administrative s'est fondée sur les faits existants au moment de trancher le litige (ATA/1001/2021 du 28 septembre 2021 et réf. cit.), étant précisé que, pour sa part, le Tribunal fédéral n’est pas entré en matière sur le fond, déclarant irrecevable le recours interjeté contre l’ATA/430/2022. À cet égard, les seuls éléments invoqués par les recourants sont en lien avec la poursuite de l’intégration de la famille en Suisse et plus particulièrement avec l’évolution des enfants dans le milieu du football. Or, le fait que la famille est investie et active au sein du club, que E______ est arbitre, que D______ a été sélectionné pour représenter l’équipe genevoise et que C______ est capitaine de l’équipe des juniors C ne permet aucunement de retenir une modification notable des circonstances depuis l’entrée en vigueur de la décision du 3 juin 2021. Il en va de même s’agissant de leur évolution scolaire, étant précisé que E______, désormais majeur, fréquente l’G______ et poursuit toujours une formation généraliste destinée à lui permettre d’acquérir des connaissances de base, avant de s’orienter vers une formation spécifique. Force est ainsi de constater qu’en application de la jurisprudence précitée, les arguments avancés par les recourants à l’appui de leur demande de reconsidération ne répondent manifestement pas aux exigences de l’art. 48 al. 1 let. b LPA. Ils ne résultent en effet que du fait que les recourants ont fait fi de la décision du 3 juin 2021, alors qu’elle est en force depuis plus de deux ans. Il convient également de rappeler que la chambre administrative, qui a examiné en dernier lieu la situation de chacun des membres de la famille, et plus particulièrement celle de E______, a retenu qu’il risquait de traverser une phase de réadaptation plus difficile, compte tenu de son âge et du temps passé en Suisse. Elle a néanmoins jugé que cette difficulté ne saurait justifier que l’analyse de la situation</w:t>
      </w:r>
    </w:p>
    <w:p>
      <w:r>
        <w:t>- 13/14 - A/1807/2024 de la famille se réduise à celle de E______ et que la famille ne remplissait pas les conditions d’un cas de rigueur. Il n’y a ainsi pas lieu de revenir sur ces questions.</w:t>
      </w:r>
    </w:p>
    <w:p>
      <w:r>
        <w:rPr>
          <w:b/>
        </w:rPr>
        <w:t>E. 16</w:t>
      </w:r>
    </w:p>
    <w:p>
      <w:r>
        <w:t>Le Tribunal relèvera enfin que l’obstination des recourant à violer les décisions de refus et de renvoi prononcées à leur encontre et à ne pas respecter les multiples délais de départ impartis ne saurait en aucun cas être récompensé. Il existe en effet un intérêt public prononcé à éviter la politique du fait accompli et à ne pas discréditer gravement les conditions posées par la Suisse à l'admission et au séjour des étrangers (arrêts du Tribunal fédéral 2C_634/2017 du 14 août 2018 consid. 3.8 et 2C_616/2012 du 1er avril 2013 consid. 1.4.2 ; arrêt du Tribunal administratif fédéral du 18 novembre 2022 consid. 7.7). Il sera également précisé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À cet égard, tant le tribunal de céans que la chambre administrative avaient relevé que les recourants, en venant vivre en Suisse alors qu’ils étaient démunis de tout titre de séjour et en y scolarisant leurs enfants, ne pouvaient ignorer que l’ensemble des membres de la famille pourraient être amenés à devoir quitter ce pays, avec toutes les conséquences qui en découlaient pour le développement de ces derniers.</w:t>
      </w:r>
    </w:p>
    <w:p>
      <w:r>
        <w:rPr>
          <w:b/>
        </w:rPr>
        <w:t>E. 17</w:t>
      </w:r>
    </w:p>
    <w:p>
      <w:r>
        <w:t>Quant à l’hypertension chronique dont le recourant allègue souffrir, il ne s’agit manifestement pas d’une affection pouvant faire obstacle à l’exécution du renvoi au sens de l’art. 83 al. 4 LEI.</w:t>
      </w:r>
    </w:p>
    <w:p>
      <w:r>
        <w:rPr>
          <w:b/>
        </w:rPr>
        <w:t>E. 18</w:t>
      </w:r>
    </w:p>
    <w:p>
      <w:r>
        <w:t>Entièrement infondé, le recours sera rejeté.</w:t>
      </w:r>
    </w:p>
    <w:p>
      <w:r>
        <w:rPr>
          <w:b/>
        </w:rPr>
        <w:t>E. 19</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20</w:t>
      </w:r>
    </w:p>
    <w:p>
      <w:r>
        <w:t>En vertu des art. 89 al. 2 et 111 al. 2 de la loi sur le Tribunal fédéral du 17 juin 2005 (LTF - RS 173.110), le présent jugement sera communiqué au secrétariat d'État aux migrations.</w:t>
      </w:r>
    </w:p>
    <w:p>
      <w:r>
        <w:t>- 14/14 - A/1807/2024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