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JTAPI/809/2025 vom 17. Juni 2024</w:t>
      </w:r>
    </w:p>
    <w:p>
      <w:r>
        <w:t>GE Cour de justice, 2024-06-17, FR</w:t>
      </w:r>
    </w:p>
    <w:p>
      <w:r>
        <w:rPr>
          <w:b/>
        </w:rPr>
        <w:t xml:space="preserve">Quelle: </w:t>
      </w:r>
      <w:r>
        <w:t>https://mcp.opencaselaw.ch/entscheid/ge_gerichte_JTAPI_809_2025</w:t>
      </w:r>
    </w:p>
    <w:p>
      <w:r>
        <w:t>FR: GE_GERICHTE JTAPI/809/2025 du 17 juin 2024</w:t>
      </w:r>
    </w:p>
    <w:p>
      <w:r>
        <w:t>IT: GE_GERICHTE JTAPI/809/2025 del 17 giugno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w:t>
      </w:r>
    </w:p>
    <w:p>
      <w:r>
        <w:t>- 4/7 - A/2603/2025 septembre 2010 - LOJ - E 2 05 ; art. 7 al. 4 let. d de loi d'application de la loi fédérale sur les étrangers du 16 juin 1988 - LaLEtr - F 2 10). Il doit y procéder dans les 96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25 juillet 2025 à 13h30.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3.1</w:t>
      </w:r>
    </w:p>
    <w:p>
      <w:r>
        <w:t>; 2C_756/2009 du 15 décembre 2009 consid. 2.1).</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a été condamnée pour crime, par quoi il faut entendre une infraction passible d'une peine privative de liberté de plus de trois ans (let. h) (cf. art. 10 al. 2 CP ; ATA/220/2018 du 8 mars 2018 consid. 4a).</w:t>
      </w:r>
    </w:p>
    <w:p>
      <w:r>
        <w:rPr>
          <w:b/>
        </w:rPr>
        <w:t>E. 5</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w:t>
      </w:r>
    </w:p>
    <w:p>
      <w:r>
        <w:t>- 5/7 - A/2603/2025 2.3.1 ; arrêts du Tribunal fédéral 2C_26/2013 du 29 janvier 2013 consid. 3.1 ; 2C_420/2011 du 9 juin 2011 consid. 4.1 ; 2C_974/2010 du 11 janvier 2011 consid.</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En l'espèce, par jugement du Tribunal de police du 17 juin 2024, en force, M. A______ a été condamné notamment pour vol, recel et tentative de vol, soit des infractions constitutives de crimes au sens de l’art. 10 al. 2 CP. Il a en outre fait l'objet dans le même jugement d'une expulsion du territoire suisse pour une durée de 5 ans. Par conséquent, les conditions de la détention de M. A______ au sens des dispositions précitées sont, sur le principe, réalisées. L'assurance de l'exécution de son refoulement répond de plus à un intérêt public certain et toute autre mesure moins incisive que la détention administrative serait vaine pour assurer sa présence au moment où M. A______ sera réacheminé dans son pays d'origine, étant notamment observé qu'à teneur du dossier, il ne dispose pas de moyens de subsistance, n’a pas d’attaches ni lieu de séjour en Suisse et varie passablement dans ses intentions, prétendant parfois vouloir partir en France pour y retrouver sa femme, parfois en Espagne où il indique avoir déposé une demande d’asile – laquelle est toutefois inexistante. Il ne saurait donc être remis sans autre</w:t>
      </w:r>
    </w:p>
    <w:p>
      <w:r>
        <w:t>- 6/7 - A/2603/2025 en liberté pour quitter la Suisse par ses propres moyens et en choisissant lui-même son lieu de destination. Enfin, il parait peu enclin à respecter l’ordre et la sécurité publics vu ses différentes condamnations pénales dont il a fait l’objet. Les autorités ont agi avec diligence et célérité. Elles ont présenté l’intéressé aux autorités algériennes en avril 2025, lesquelles l’ont reconnu comme étant algérien et ont déclaré être disposées à émettre à son encontre un laissez-passer. Elles ont ensuite sollicité la réservation d’une place sur un vol avec escorte policière, lequel devrait avoir lieu le 8 septembre prochain pour procéder au renvoi de l’intéressé en Algérie. Il sera précisé qu’à teneur du dossier, M. A______ n’est pas autorisé à résider ailleurs qu’en Algérie, ne possédant que la nationalité algérienne et n’ayant obtenu aucune autorisation de séjour dans un autre pays, ni même déposé une demande d’asile, notamment en Espagne, contrairement à ses déclarations. Quant à la durée de la détention, fixée à trois mois, elle parait adéquate : il sied de rappeler que l’intéressé s’oppose à son renvoi, et donc que ce dernier, prévu par vol avec escorte policière le 8 septembre 2025, risque vraisemblablement d’être annulé. Si tel devait être le cas, la durée de détention restante permettra aux autorités de poursuivre leurs démarches qui pourraient s’avérer longues et compliquées vu la position de refus affichée de M. A______. La durée de sa détention ordonnée par le commissaire de police apparait ainsi proportionnée et adéquate et reste au surplus inférieure à la durée prévue par l’art. 79 al. 1 LEI et a fortiori compatible avec la durée maximale possible en application de l’art. 79 al. 2 LEI.</w:t>
      </w:r>
    </w:p>
    <w:p>
      <w:r>
        <w:rPr>
          <w:b/>
        </w:rPr>
        <w:t>E. 12</w:t>
      </w:r>
    </w:p>
    <w:p>
      <w:r>
        <w:t>Au vu de ce qui précède, il y a lieu de confirmer l'ordre de mise en détention administrative de M. A______ pour une durée de trois mois.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A/2603/2025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