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JTAPI/808/2022 vom 16. Dezember 2020</w:t>
      </w:r>
    </w:p>
    <w:p>
      <w:r>
        <w:t>GE Cour de justice, 2020-12-16, FR</w:t>
      </w:r>
    </w:p>
    <w:p>
      <w:r>
        <w:rPr>
          <w:b/>
        </w:rPr>
        <w:t xml:space="preserve">Quelle: </w:t>
      </w:r>
      <w:r>
        <w:t>https://mcp.opencaselaw.ch/entscheid/ge_gerichte_JTAPI_808_2022</w:t>
      </w:r>
    </w:p>
    <w:p>
      <w:r>
        <w:t>FR: GE_GERICHTE JTAPI/808/2022 du 16 décembre 2020</w:t>
      </w:r>
    </w:p>
    <w:p>
      <w:r>
        <w:t>IT: GE_GERICHTE JTAPI/808/2022 del 16 dicembre 2020</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7 août 2022 à 14h00.</w:t>
      </w:r>
    </w:p>
    <w:p>
      <w:r>
        <w:rPr>
          <w:b/>
        </w:rPr>
        <w:t>E. 3</w:t>
      </w:r>
    </w:p>
    <w:p>
      <w:r>
        <w:t>Le tribunal se prononce au terme d'une procédure orale (art. 9 al. 5 LaLEtr) ; il peut confirmer, réformer ou annuler la décision du commissaire de police ; le cas échéant, il ordonne la mise en liberté de l'étranger (art. 9 al. 3 LaLEtr).</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5</w:t>
      </w:r>
    </w:p>
    <w:p>
      <w:r>
        <w:t>À teneur de l'art. 76 al. 1 let. b ch. 1 LEI, après notification d'une décision de première instance de renvoi ou d'une décision de première instance d'expulsion au sens des art. 66a ou 66abis CP, l'autorité compétente peut, afin d'en assurer l'exécution, mettre en détention la personne concernée notamment si celle-ci a été condamnée pour crime (art. 75 al. 1 let. h LEI), par quoi il faut entendre une infraction passible d'une peine privative de liberté de plus de trois ans (cf. art. 10 al. 2 CP ; ATA/220/2018 du 8 mars 2018 consid. 4a ; ATA/997/2016 du 23 novembre 2016 consid. 4a ; ATA/295/2011 du 12 mai 2011 consid. 4).</w:t>
      </w:r>
    </w:p>
    <w:p>
      <w:r>
        <w:t>- 5/8 - A/2508/2022</w:t>
      </w:r>
    </w:p>
    <w:p>
      <w:r>
        <w:rPr>
          <w:b/>
        </w:rPr>
        <w:t>E. 6</w:t>
      </w:r>
    </w:p>
    <w:p>
      <w:r>
        <w:t>Selon la jurisprudence de la chambre administrative de la Cour de justice, pour qu'une personne puisse être mise en détention sur la base de cette disposition, elle doit avoir été condamnée par une juridiction pénale de première instance, sans qu'il ne soit nécessaire que le jugement soit définitif (ATA/127/2015 du 3 février 2015 consid. 6).</w:t>
      </w:r>
    </w:p>
    <w:p>
      <w:r>
        <w:rPr>
          <w:b/>
        </w:rPr>
        <w:t>E. 7</w:t>
      </w:r>
    </w:p>
    <w:p>
      <w:r>
        <w:t>Comme cela ressort du texte même de l'art. 76 al. 1 LEI et de la jurisprudence constante, une mise en détention administrative n'implique en outre pas que la décision de renvoi ou d'expulsion qui la sous-tend soit entrée en force et exécutoire (cf. ATF 140 II 409 consid. 2.3.4 ; 140 II 74 consid. 2.1 ; 130 II 377 consid. 1 ; 129 II 1 consid. 2 ; 122 II 148 consid. 1 ; 121 II 59 consid. 2a ; ATA/252/2015 du 5 mars 2015 consid. 6a ; Grégor CHATTON/Laurent MERZ in Minh Son NGUYEN/Cesla AMARELLE [éd.], op. cit., n. 5 p. 779).</w:t>
      </w:r>
    </w:p>
    <w:p>
      <w:r>
        <w:rPr>
          <w:b/>
        </w:rPr>
        <w:t>E. 8</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9</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10</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w:t>
      </w:r>
    </w:p>
    <w:p>
      <w:r>
        <w:rPr>
          <w:b/>
        </w:rPr>
        <w:t>E. 11</w:t>
      </w:r>
    </w:p>
    <w:p>
      <w:r>
        <w:t>En l'occurrence, M. A______ fait l'objet d'une mesure d'expulsion judiciaire décidée par le Tribunal correctionnel, confirmée par la Chambre pénale d'appel et de révision le 15 juin 2022, laquelle a également confirmé le verdict de culpabilité de violation grave de la LStup prononcé par les premiers juges. Sa détention administrative se justifie donc sous l'angle des art. 75 al. 1 let. h et 76 al. 1 let. b ch. 1 LEI, puisque l'infraction instituée par l'art. 19 ch. 2 LStup est constitutive de crime au sens de l'art. 10 al. 2 CP (cf. arrêts du Tribunal fédéral 6B_490 du 14 octobre 2013 consid. 2.4.2 ;), ce motif permettant à lui seul le prononcé d'une telle mesure (cf. ATA/180/2016 du 25 février 2016 consid. 7). Le principe de la légalité</w:t>
      </w:r>
    </w:p>
    <w:p>
      <w:r>
        <w:t>- 6/8 - A/2508/2022 est donc respecté. Point n'est ainsi besoin de déterminer encore si, comme l'a retenu le commissaire de police, les motifs prévus par les art. 75 al. 1 let. g et 76 al. 1 let. b ch. 3 et 4 LEI sont aussi réalisés.</w:t>
      </w:r>
    </w:p>
    <w:p>
      <w:r>
        <w:rPr>
          <w:b/>
        </w:rPr>
        <w:t>E. 12</w:t>
      </w:r>
    </w:p>
    <w:p>
      <w:r>
        <w:t>L'assurance de son départ de Suisse répond par ailleurs à un intérêt public certain et toute autre mesure moins incisive que la détention administrative serait vaine pour assurer sa présence au moment où M. A______ devra monter dans l'avion devant le reconduire dans son pays d'origine étant notamment observé qu'à teneur du dossier, il ne dispose pas de moyens de subsistance et n'a ni lieu de séjour ni attache en Suisse. Enfin, il ne saurait être remis sans autre en liberté pour quitter la Suisse en choisissant lui-même son lieu de destination. Chargée de procéder à l'exécution de son refoulement par l'OCPM, la police devra pouvoir s'assurer de l'effectivité de celui-ci (cf. not. art. 15f OERE).</w:t>
      </w:r>
    </w:p>
    <w:p>
      <w:r>
        <w:rPr>
          <w:b/>
        </w:rPr>
        <w:t>E. 13</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w:t>
      </w:r>
    </w:p>
    <w:p>
      <w:r>
        <w:rPr>
          <w:b/>
        </w:rPr>
        <w:t>E. 14</w:t>
      </w:r>
    </w:p>
    <w:p>
      <w:r>
        <w:t>En l'espèce il résulte du dossier que les document d'identité et titre de voyage de M. A______ sont échus, ce qui a conduit le SEM à s’adresser aux autorités albanaises le 29 juillet 2022, alors que l'intéressé se trouvait encore en détention pénale en vue d'obtenir leur accord de réadmission et d’obtenir l’émission d’un laissez-passer, ce qui permettra seulement ensuite aux autorités suisses de réserver une place au nom de M. A______ à bord d’un vol à destination de son pays d'origine. À ce stade, les autorités suisses ont respecté leur devoir de diligence.</w:t>
      </w:r>
    </w:p>
    <w:p>
      <w:r>
        <w:rPr>
          <w:b/>
        </w:rPr>
        <w:t>E. 15</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16</w:t>
      </w:r>
    </w:p>
    <w:p>
      <w:r>
        <w:t>En outre, la durée de la détention administrative doit respecter le principe de la proportionnalité (ATF 125 I 474 consid. 3 et les arrêts cités ; arrêt du Tribunal fédéral 1P.269/2001 du 7 juin 2001 consid. 2c ; ATA/752/2012 du 1er novembre 2012 consid. 7). Quant au souhait de M. A______ de rentrer le plus rapidement possible dans son pays afin d’y retrouver sa famille et de reprendre ses entrainements au sein de l'équipe de football dans laquelle il évolue en qualité de joueur professionnel, il est parfaitement compréhensible mais ne saurait peser d’une quelconque manière sur les contraintes légales fixant la procédure de réadmission de M. A______ par les autorités albanaises. Au demeurant, M. A______ supporte seul la responsabilité</w:t>
      </w:r>
    </w:p>
    <w:p>
      <w:r>
        <w:t>- 7/8 - A/2508/2022 des conséquences des infractions pénales qu’il a commises et qui se font encore sentir au-delà de sa détention pénale. S’agissant enfin de la durée de sa détention, elle respecte le cadre légal fixé par l'art. 79 al. 1 LEI. Néanmoins, au vu des explications que le commissaire de police a livrées ce jour au tribunal, dont il ressort que tout porte à croire que l'exécution du renvoi de M. A______ devrait pouvoir intervenir rapidement, une détention de six semaines ne s'avère pas nécessaire. Cette durée sera réduite à un mois. Si son départ intervient avant cette date, sa détention prendra naturellement fin. La portée de cette durée demeure ainsi relative.</w:t>
      </w:r>
    </w:p>
    <w:p>
      <w:r>
        <w:rPr>
          <w:b/>
        </w:rPr>
        <w:t>E. 17</w:t>
      </w:r>
    </w:p>
    <w:p>
      <w:r>
        <w:t>M. A______ se plaint enfin des conditions de sa détention qui seraient plus restrictives que dans l'établissement semi-ouvert dans lequel il a purgé sa peine de prison. Sans minimiser les contraintes d'une détention administrative, en particulier en cette période de canicule, aucun élément ne permet de considérer que l'établissement de Favra contreviendrait à l'art. 81 LEI ou aux dispositions du concordat sur l’exécution de la détention administrative à l’égard des étrangers du 4 juillet 1996 (CEDA - F 2 12), justifiant sa mise en liberté.</w:t>
      </w:r>
    </w:p>
    <w:p>
      <w:r>
        <w:rPr>
          <w:b/>
        </w:rPr>
        <w:t>E. 18</w:t>
      </w:r>
    </w:p>
    <w:p>
      <w:r>
        <w:t>Au vu de ce qui précède, il y a lieu de confirmer l'ordre de mise en détention administrative de M. A______ pour une durée d'un mois.</w:t>
      </w:r>
    </w:p>
    <w:p>
      <w:r>
        <w:rPr>
          <w:b/>
        </w:rPr>
        <w:t>E. 19</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A/2508/2022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