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JTAPI/79/2024 vom 31. Januar 2024</w:t>
      </w:r>
    </w:p>
    <w:p>
      <w:r>
        <w:t>GE Cour de justice, 2024-01-31, FR</w:t>
      </w:r>
    </w:p>
    <w:p>
      <w:r>
        <w:rPr>
          <w:b/>
        </w:rPr>
        <w:t xml:space="preserve">Quelle: </w:t>
      </w:r>
      <w:r>
        <w:t>https://mcp.opencaselaw.ch/entscheid/ge_gerichte_JTAPI_79_2024</w:t>
      </w:r>
    </w:p>
    <w:p>
      <w:r>
        <w:t>FR: GE_GERICHTE JTAPI/79/2024 du 31 janvier 2024</w:t>
      </w:r>
    </w:p>
    <w:p>
      <w:r>
        <w:t>IT: GE_GERICHTE JTAPI/79/2024 del 31 gennaio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L’admission de la qualité pour recourir ne signifie pas encore que toutes les conclusions respectivement griefs formulés par un recourant soient recevables. 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w:t>
      </w:r>
    </w:p>
    <w:p>
      <w:r>
        <w:rPr>
          <w:b/>
        </w:rPr>
        <w:t>E. 4</w:t>
      </w:r>
    </w:p>
    <w:p>
      <w:r>
        <w:t>En l’espèce, l’objet du litige porte sur la conformité au droit de l’amende infligée aux recourants par décision du 10 mars 2023. Le chef des conclusions de ceux-ci relatives à leur courrier du 28 septembre 2022, à la décision de leur assemblée générale du 4 avril 2022, à la décision du département du 1er juillet 2022 prise à l’encontre de M. N______, au recours de ce dernier concernant l’infraction I- 4______ et à l’APA que celui-ci a déposée auprès du département est exorbitant à l’objet de la décision entreprise et, partant, celles-ci sont irrecevables.</w:t>
      </w:r>
    </w:p>
    <w:p>
      <w:r>
        <w:t>- 6/10 - A/1304/2023</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5.1</w:t>
      </w:r>
    </w:p>
    <w:p>
      <w:r>
        <w:t>; ATA/559/2021 du 25 mai 2021 consid. 7e) et ses capacités financières (cf. ATA/719/2012 du 30 octobre 2012 consid. 20 et les références citées). 13. S’agissant de la quotité de l’amende, la jurisprudence de la chambre administrative de la Cour de justice (ci-après: la chambre administrative) précise que le</w:t>
      </w:r>
    </w:p>
    <w:p>
      <w:r>
        <w:t>- 8/10 - A/1304/2023 département jouit d’un large pouvoir d’appréciation pour en fixer le montant et n’est censuré qu’en cas d’excès. Sont pris en considération la nature, la gravité et la fréquence des infractions commises dans le respect du principe de la proportionnalité (ATA/702/2023 du 27 juin 2023 consid. 6.1 ; ATA/19/2018 du 9 janvier 2018 consid. 9d confirmé par arrêt du Tribunal fédéral 1C_80/2018 du 23 mai 2019). En outre, l’administration doit faire preuve de sévérité, afin d’assurer le respect de la loi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14. Enfin, l’amende doit respecter le principe de la proportionnalité garanti par l’art. 5 al. 2 de la Constitution fédérale de la Confédération suisse du 18 avril 1999 (Cst. - RS 101 ; ATA/559/2021 du 25 mai 2021 consid. 7d et les références citées ; ATA/313/2017 du 21 mars 2017), lequel commande que la mesure étatique soit nécessaire et apte à atteindre le but prévu et qu’elle soit raisonnable pour la personne concernée (ATF 140 I 257 consid. 6.3.1 ; 140 II 194 consid. 5.8.2). 15. Selon un principe général, la nullité d’un acte commis en violation de la loi doit résulter ou bien d’une disposition légale expresse, ou bien du sens et du but de la norme en question (ATF 122 I 97 consid. 3a).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 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arrêt du Tribunal fédéral 1C_171/2020 du 6 avril 2021 consid. 1.4.2 ; ATA/1372/2023 du 12 décembre 2023 consid. 5.2).</w:t>
      </w:r>
    </w:p>
    <w:p>
      <w:r>
        <w:rPr>
          <w:b/>
        </w:rPr>
        <w:t>E. 6</w:t>
      </w:r>
    </w:p>
    <w:p>
      <w:r>
        <w:t>Les arguments formulés par les parties à l’appui de leurs conclusions respectives seront repris et discutés dans la mesure utile (ATF 145 IV 99 consid. 3.1 ;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7</w:t>
      </w:r>
    </w:p>
    <w:p>
      <w:r>
        <w:t>Les recourants estiment l’amende non fondée en raison du fait qu’ils n’avaient commis aucune faute, ayant fait tout leur possible pour contraindre M. N______à utiliser sa servitude correctement. Ils étaient scandalisés qu’on leur reproche de ne pas avoir adhérer à un changement d’affectation d’une partie de leur parking. Ils requièrent également que toutes amendes soient infligées à M. N______.</w:t>
      </w:r>
    </w:p>
    <w:p>
      <w:r>
        <w:rPr>
          <w:b/>
        </w:rPr>
        <w:t>E. 8</w:t>
      </w:r>
    </w:p>
    <w:p>
      <w:r>
        <w:t>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ainsi que les cas de récidive constituent notamment des circonstances aggravantes (art. 137 al. 3 LCI).</w:t>
      </w:r>
    </w:p>
    <w:p>
      <w:r>
        <w:rPr>
          <w:b/>
        </w:rPr>
        <w:t>E. 9</w:t>
      </w:r>
    </w:p>
    <w:p>
      <w:r>
        <w:t>L’art. 137 al. 1 let. c LCI érige ainsi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w:t>
      </w:r>
    </w:p>
    <w:p>
      <w:r>
        <w:t>- 7/10 - A/1304/2023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(ATA/706/2022 du 5 juillet 2022 consid. 3d et les références citées).</w:t>
      </w:r>
    </w:p>
    <w:p>
      <w:r>
        <w:rPr>
          <w:b/>
        </w:rPr>
        <w:t>E. 10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(ATA/870/2023 du 22 août 2023 consid. 9.2 ; ATA/174/2023 du 28 février 2023 consid. 2.1.3 et les références citées).</w:t>
      </w:r>
    </w:p>
    <w:p>
      <w:r>
        <w:rPr>
          <w:b/>
        </w:rPr>
        <w:t>E. 11</w:t>
      </w:r>
    </w:p>
    <w:p>
      <w:r>
        <w:t>En vertu de l’art. 1 let. a de la loi pénale genevoise du 17 novembre 2006 (LPG - E 4 05), les dispositions de la partie générale du CP (art. 1 à 110) s’appliquent à titre de droit cantonal supplétif aux infractions prévues par la législation genevoise, sous réserve de celles qui concernent exclusivement le juge pénal (ATA/440/ 2019 du</w:t>
      </w:r>
    </w:p>
    <w:p>
      <w:r>
        <w:rPr>
          <w:b/>
        </w:rPr>
        <w:t>E. 16</w:t>
      </w:r>
    </w:p>
    <w:p>
      <w:r>
        <w:t>En l’espèce, l’amende litigieuse se fonde sur le non-respect de la décision du 1er juillet 2022, entrée en force faute d’avoir été contestée et qui ne peut être qualifiée de nulle dans la mesure où elle n’est pas entachée d’un vice particulièrement grave. Partant, il n’est pas reproché aux recourants de ne pas avoir rétabli une situation</w:t>
      </w:r>
    </w:p>
    <w:p>
      <w:r>
        <w:t>- 9/10 - A/1304/2023 conforme au droit s’agissant des locaux modifiés utilisés par M. N______, mais de ne pas s’être conformés à l’ordre du 1er juillet 2022 dans le délai imparti. Dans ces circonstances, les arguments et considérations des recourants visent en fait à remettre en cause le bien-fondé de l’ordre prononcé le 1er juillet 2022, mais cela ne peut plus être fait à ce jour, cette décision étant entrée en force avec pour effet que ses éventuels vices ont été guéris. Les recourants auraient dû faire valoir de tels griefs en temps utile, à savoir en contestant la décision du 1er juillet 2022 dans un délai de trente jours. Il est maintenant trop tard pour eux de se plaindre que le département leur reproche de ne pas avoir adhérer à un changement d’affectation d’une partie de leur parking. Le principe de l’amende doit ainsi être confirmé. La quotité de l’amende, qui n’est pas contestée par les recourants, doit aussi être confirmée, étant noté qu’elle se situe dans la fourchette base du montant pouvant être infligé. Enfin, force est pour le tribunal de constater que l’amende querellée ne peut pas être infligée à M. N______en lieu et place des recourants, puisque celui-ci n’a pas contrevenu à l’ordre du 1er juillet 2022, lequel ne lui a d’ailleurs pas été adressé.</w:t>
      </w:r>
    </w:p>
    <w:p>
      <w:r>
        <w:rPr>
          <w:b/>
        </w:rPr>
        <w:t>E. 17</w:t>
      </w:r>
    </w:p>
    <w:p>
      <w:r>
        <w:t>Mal fondé, le recours sera rejeté.</w:t>
      </w:r>
    </w:p>
    <w:p>
      <w:r>
        <w:rPr>
          <w:b/>
        </w:rPr>
        <w:t>E. 18</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partiellement couvert par l’avance de frais de CHF 350.- versée à la suite du dépôt du recours. À cet égard, il sied de préciser que M. N______n’est pas partie à la présente procédure et qu’il ne peut dès lors devoir en assumer les frais.</w:t>
      </w:r>
    </w:p>
    <w:p>
      <w:r>
        <w:rPr>
          <w:b/>
        </w:rPr>
        <w:t>E. 19</w:t>
      </w:r>
    </w:p>
    <w:p>
      <w:r>
        <w:t>Vu l’issue du litige, aucune indemnité de procédure ne sera allouée (art. 87 al. 2 LPA).</w:t>
      </w:r>
    </w:p>
    <w:p>
      <w:r>
        <w:t>- 10/10 - A/1304/2023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