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JTAPI/794/2025 vom 22. Juli 2025</w:t>
      </w:r>
    </w:p>
    <w:p>
      <w:r>
        <w:t>GE Cour de justice, 2025-07-22, FR</w:t>
      </w:r>
    </w:p>
    <w:p>
      <w:r>
        <w:rPr>
          <w:b/>
        </w:rPr>
        <w:t xml:space="preserve">Quelle: </w:t>
      </w:r>
      <w:r>
        <w:t>https://mcp.opencaselaw.ch/entscheid/ge_gerichte_JTAPI_794_2025</w:t>
      </w:r>
    </w:p>
    <w:p>
      <w:r>
        <w:t>FR: GE_GERICHTE JTAPI/794/2025 du 22 juillet 2025</w:t>
      </w:r>
    </w:p>
    <w:p>
      <w:r>
        <w:t>IT: GE_GERICHTE JTAPI/794/2025 del 22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2.1</w:t>
      </w:r>
    </w:p>
    <w:p>
      <w:r>
        <w:t>; 2C_974/2010 du 11 janvier 2011 consid. 3.1 et 2C_756/2009 du 15 décembre</w:t>
      </w:r>
    </w:p>
    <w:p>
      <w:r>
        <w:t>- 5/6 - A/2548/2025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3</w:t>
      </w:r>
    </w:p>
    <w:p>
      <w:r>
        <w:t>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9</w:t>
      </w:r>
    </w:p>
    <w:p>
      <w:r>
        <w:t>L'art. 76a al. 2 LEI mentionne les éléments concrets dont il s'agit de conclure qu'il y a lieu de craindre que l’étranger entend se soustraire à l’exécution du renvoi. Il en va ainsi, notamment, s’il franchit la frontière malgré une interdiction d’entrer en Suisse et ne peut pas être renvoyé immédiatement (let. e).</w:t>
      </w:r>
    </w:p>
    <w:p>
      <w:r>
        <w:rPr>
          <w:b/>
        </w:rPr>
        <w:t>E. 10</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11</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12</w:t>
      </w:r>
    </w:p>
    <w:p>
      <w:r>
        <w:t>septembre 2011 consid.</w:t>
      </w:r>
    </w:p>
    <w:p>
      <w:r>
        <w:rPr>
          <w:b/>
        </w:rPr>
        <w:t>E. 13</w:t>
      </w:r>
    </w:p>
    <w:p>
      <w:r>
        <w:t>En l’occurrence, M. A______ a violé l’IES valable jusqu’au 28 novembre 2027 prononcée à son encontre, laquelle lui a été valablement notifiée le 22 octobre 2024, en revenant en Suisse après en avoir été refoulé le 28 avril 2025. Ce comportement permet non seulement de conclure qu’il refuse d’obtempérer aux instructions des autorités suisses mais correspond également aux conditions posées par l’art. 76a al. 2 let. e LEI. En outre, n’étant pas en possession de documents d’identité ou de documents de voyage valable, il ne peut pas être renvoyé sans délai dans un pays dans lequel il serait autorisé à se rendre. Pour terminer, il n’a aucune attache à Genève ni source de revenus avérée, pas plus qu’une résidence fixe, de sorte que le risque qu’il se soustraie à son renvoi est élevé. Ainsi, force est de considérer que les conditions légales de la détention au sens de l'art. 76a LEI sont réalisées, ce que l’intéressé ne conteste d'ailleurs pas.</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l'espèce, il n’y a pas lieu de douter que l'autorité chargée du renvoi continue d’agir avec diligence et célérité, comme elle l’a fait jusqu’alors dans le cadre des précédents transferts de M. A______, en vue de sa reprise en charge. Enfin, la durée de la détention décidée par le commissaire de police respecte le cadre légal fixé par l'art. 76a al. 3 let. a LEI. Elle n’apparaît en outre pas disproportionnée au vu des circonstances concrètes.</w:t>
      </w:r>
    </w:p>
    <w:p>
      <w:r>
        <w:rPr>
          <w:b/>
        </w:rPr>
        <w:t>E. 16</w:t>
      </w:r>
    </w:p>
    <w:p>
      <w:r>
        <w:t>Au vu de ce qui précède, il y a lieu de confirmer l'ordre de mise en détention administrative pris pour une durée de sept semaines.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- 6/6 - A/2548/2025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